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01.140.20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公共图书馆适老服务规范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Specifications of</w:t>
      </w:r>
      <w:r>
        <w:rPr>
          <w:rFonts w:hint="eastAsia" w:eastAsia="黑体"/>
          <w:szCs w:val="28"/>
        </w:rPr>
        <w:t xml:space="preserve"> public libraries a</w:t>
      </w:r>
      <w:r>
        <w:rPr>
          <w:rFonts w:eastAsia="黑体"/>
          <w:szCs w:val="28"/>
        </w:rPr>
        <w:t xml:space="preserve">ging </w:t>
      </w:r>
      <w:r>
        <w:rPr>
          <w:rFonts w:hint="eastAsia" w:eastAsia="黑体"/>
          <w:szCs w:val="28"/>
        </w:rPr>
        <w:t>s</w:t>
      </w:r>
      <w:r>
        <w:rPr>
          <w:rFonts w:eastAsia="黑体"/>
          <w:szCs w:val="28"/>
        </w:rPr>
        <w:t>ervice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w:t>
      </w:r>
      <w:r>
        <w:rPr>
          <w:rFonts w:hint="eastAsia"/>
          <w:sz w:val="24"/>
          <w:szCs w:val="28"/>
          <w:lang w:eastAsia="zh-CN"/>
        </w:rPr>
        <w:t>征求意见</w:t>
      </w:r>
      <w:r>
        <w:rPr>
          <w:rFonts w:hint="eastAsia"/>
          <w:sz w:val="24"/>
          <w:szCs w:val="28"/>
        </w:rPr>
        <w:t>稿）</w:t>
      </w:r>
    </w:p>
    <w:p>
      <w:pPr>
        <w:pStyle w:val="125"/>
        <w:framePr w:w="9639" w:h="6974" w:hRule="exact" w:wrap="around" w:vAnchor="page" w:hAnchor="page" w:x="1419" w:y="6408" w:anchorLock="1"/>
        <w:spacing w:before="180" w:line="240" w:lineRule="atLeast"/>
        <w:textAlignment w:val="bottom"/>
        <w:rPr>
          <w:sz w:val="21"/>
          <w:szCs w:val="28"/>
        </w:rPr>
      </w:pPr>
    </w:p>
    <w:p>
      <w:pPr>
        <w:pStyle w:val="193"/>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1"/>
        <w:spacing w:after="468"/>
      </w:pPr>
      <w:bookmarkStart w:id="18" w:name="BookMark1"/>
      <w:bookmarkStart w:id="19" w:name="_Toc11958982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"_Toc126479181" </w:instrText>
      </w:r>
      <w:r>
        <w:fldChar w:fldCharType="separate"/>
      </w:r>
      <w:r>
        <w:rPr>
          <w:rStyle w:val="32"/>
          <w:rFonts w:hint="eastAsia"/>
          <w:spacing w:val="320"/>
        </w:rPr>
        <w:t>前</w:t>
      </w:r>
      <w:r>
        <w:rPr>
          <w:rStyle w:val="32"/>
          <w:rFonts w:hint="eastAsia"/>
        </w:rPr>
        <w:t>言</w:t>
      </w:r>
      <w:r>
        <w:tab/>
      </w:r>
      <w:r>
        <w:rPr>
          <w:rFonts w:hint="eastAsia"/>
        </w:rPr>
        <w:t>..</w:t>
      </w:r>
      <w:r>
        <w:t>II</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"_Toc126479182" </w:instrText>
      </w:r>
      <w:r>
        <w:fldChar w:fldCharType="separate"/>
      </w:r>
      <w:r>
        <w:rPr>
          <w:rStyle w:val="32"/>
        </w:rPr>
        <w:t>1</w:t>
      </w:r>
      <w:r>
        <w:rPr>
          <w:rStyle w:val="32"/>
          <w:rFonts w:hint="eastAsia"/>
        </w:rPr>
        <w:t xml:space="preserve"> 范围</w:t>
      </w:r>
      <w:r>
        <w:tab/>
      </w:r>
      <w:r>
        <w:fldChar w:fldCharType="begin"/>
      </w:r>
      <w:r>
        <w:instrText xml:space="preserve"> PAGEREF _Toc126479182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"_Toc126479183" </w:instrText>
      </w:r>
      <w:r>
        <w:fldChar w:fldCharType="separate"/>
      </w:r>
      <w:r>
        <w:rPr>
          <w:rStyle w:val="32"/>
        </w:rPr>
        <w:t>2</w:t>
      </w:r>
      <w:r>
        <w:rPr>
          <w:rStyle w:val="32"/>
          <w:rFonts w:hint="eastAsia"/>
        </w:rPr>
        <w:t xml:space="preserve"> 规范性引用文件</w:t>
      </w:r>
      <w:r>
        <w:tab/>
      </w:r>
      <w:r>
        <w:fldChar w:fldCharType="begin"/>
      </w:r>
      <w:r>
        <w:instrText xml:space="preserve"> PAGEREF _Toc126479183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"_Toc126479184" </w:instrText>
      </w:r>
      <w:r>
        <w:fldChar w:fldCharType="separate"/>
      </w:r>
      <w:r>
        <w:rPr>
          <w:rStyle w:val="32"/>
        </w:rPr>
        <w:t>3</w:t>
      </w:r>
      <w:r>
        <w:rPr>
          <w:rStyle w:val="32"/>
          <w:rFonts w:hint="eastAsia"/>
        </w:rPr>
        <w:t xml:space="preserve"> 术语和定义</w:t>
      </w:r>
      <w:r>
        <w:tab/>
      </w:r>
      <w:r>
        <w:fldChar w:fldCharType="begin"/>
      </w:r>
      <w:r>
        <w:instrText xml:space="preserve"> PAGEREF _Toc126479184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"_Toc126479193" </w:instrText>
      </w:r>
      <w:r>
        <w:fldChar w:fldCharType="separate"/>
      </w:r>
      <w:r>
        <w:rPr>
          <w:rStyle w:val="32"/>
        </w:rPr>
        <w:t>4</w:t>
      </w:r>
      <w:r>
        <w:rPr>
          <w:rStyle w:val="32"/>
          <w:rFonts w:hint="eastAsia"/>
        </w:rPr>
        <w:t xml:space="preserve"> 基本原则</w:t>
      </w:r>
      <w:r>
        <w:tab/>
      </w:r>
      <w:r>
        <w:fldChar w:fldCharType="begin"/>
      </w:r>
      <w:r>
        <w:instrText xml:space="preserve"> PAGEREF _Toc126479193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"_Toc126479194" </w:instrText>
      </w:r>
      <w:r>
        <w:fldChar w:fldCharType="separate"/>
      </w:r>
      <w:r>
        <w:rPr>
          <w:rStyle w:val="32"/>
          <w:bCs/>
        </w:rPr>
        <w:t>5</w:t>
      </w:r>
      <w:r>
        <w:rPr>
          <w:rStyle w:val="32"/>
          <w:rFonts w:hint="eastAsia"/>
          <w:bCs/>
        </w:rPr>
        <w:t xml:space="preserve"> 适老化建设</w:t>
      </w:r>
      <w:r>
        <w:tab/>
      </w:r>
      <w:r>
        <w:fldChar w:fldCharType="begin"/>
      </w:r>
      <w:r>
        <w:instrText xml:space="preserve"> PAGEREF _Toc126479194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"_Toc126479195" </w:instrText>
      </w:r>
      <w:r>
        <w:fldChar w:fldCharType="separate"/>
      </w:r>
      <w:r>
        <w:rPr>
          <w:rStyle w:val="32"/>
        </w:rPr>
        <w:t>5.1</w:t>
      </w:r>
      <w:r>
        <w:rPr>
          <w:rStyle w:val="32"/>
          <w:rFonts w:hint="eastAsia"/>
          <w:bCs/>
        </w:rPr>
        <w:t xml:space="preserve"> 场馆建设</w:t>
      </w:r>
      <w:r>
        <w:tab/>
      </w:r>
      <w:r>
        <w:fldChar w:fldCharType="begin"/>
      </w:r>
      <w:r>
        <w:instrText xml:space="preserve"> PAGEREF _Toc126479195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"_Toc126479196" </w:instrText>
      </w:r>
      <w:r>
        <w:fldChar w:fldCharType="separate"/>
      </w:r>
      <w:r>
        <w:rPr>
          <w:rStyle w:val="32"/>
        </w:rPr>
        <w:t>5.2</w:t>
      </w:r>
      <w:r>
        <w:rPr>
          <w:rStyle w:val="32"/>
          <w:rFonts w:hint="eastAsia"/>
        </w:rPr>
        <w:t xml:space="preserve"> 环境建设</w:t>
      </w:r>
      <w:r>
        <w:tab/>
      </w:r>
      <w:r>
        <w:fldChar w:fldCharType="begin"/>
      </w:r>
      <w:r>
        <w:instrText xml:space="preserve"> PAGEREF _Toc126479196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"_Toc126479197" </w:instrText>
      </w:r>
      <w:r>
        <w:fldChar w:fldCharType="separate"/>
      </w:r>
      <w:r>
        <w:rPr>
          <w:rStyle w:val="32"/>
        </w:rPr>
        <w:t>5.3</w:t>
      </w:r>
      <w:r>
        <w:rPr>
          <w:rStyle w:val="32"/>
          <w:rFonts w:hint="eastAsia"/>
        </w:rPr>
        <w:t xml:space="preserve"> 制度建设</w:t>
      </w:r>
      <w:r>
        <w:tab/>
      </w:r>
      <w:r>
        <w:fldChar w:fldCharType="begin"/>
      </w:r>
      <w:r>
        <w:instrText xml:space="preserve"> PAGEREF _Toc126479197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"_Toc126479198" </w:instrText>
      </w:r>
      <w:r>
        <w:fldChar w:fldCharType="separate"/>
      </w:r>
      <w:r>
        <w:rPr>
          <w:rStyle w:val="32"/>
        </w:rPr>
        <w:t>6</w:t>
      </w:r>
      <w:r>
        <w:rPr>
          <w:rStyle w:val="32"/>
          <w:rFonts w:hint="eastAsia"/>
        </w:rPr>
        <w:t xml:space="preserve"> 文献资源</w:t>
      </w:r>
      <w:r>
        <w:tab/>
      </w:r>
      <w:r>
        <w:fldChar w:fldCharType="begin"/>
      </w:r>
      <w:r>
        <w:instrText xml:space="preserve"> PAGEREF _Toc126479198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"_Toc126479199" </w:instrText>
      </w:r>
      <w:r>
        <w:fldChar w:fldCharType="separate"/>
      </w:r>
      <w:r>
        <w:rPr>
          <w:rStyle w:val="32"/>
        </w:rPr>
        <w:t>7</w:t>
      </w:r>
      <w:r>
        <w:rPr>
          <w:rStyle w:val="32"/>
          <w:rFonts w:hint="eastAsia"/>
        </w:rPr>
        <w:t xml:space="preserve"> 人力资源</w:t>
      </w:r>
      <w:r>
        <w:tab/>
      </w:r>
      <w:r>
        <w:fldChar w:fldCharType="begin"/>
      </w:r>
      <w:r>
        <w:instrText xml:space="preserve"> PAGEREF _Toc126479199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"_Toc126479200" </w:instrText>
      </w:r>
      <w:r>
        <w:fldChar w:fldCharType="separate"/>
      </w:r>
      <w:r>
        <w:rPr>
          <w:rStyle w:val="32"/>
        </w:rPr>
        <w:t>7.1</w:t>
      </w:r>
      <w:r>
        <w:rPr>
          <w:rStyle w:val="32"/>
          <w:rFonts w:hint="eastAsia"/>
        </w:rPr>
        <w:t xml:space="preserve"> 人员要求</w:t>
      </w:r>
      <w:r>
        <w:tab/>
      </w:r>
      <w:r>
        <w:fldChar w:fldCharType="begin"/>
      </w:r>
      <w:r>
        <w:instrText xml:space="preserve"> PAGEREF _Toc126479200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"_Toc126479201" </w:instrText>
      </w:r>
      <w:r>
        <w:fldChar w:fldCharType="separate"/>
      </w:r>
      <w:r>
        <w:rPr>
          <w:rStyle w:val="32"/>
        </w:rPr>
        <w:t>7.2</w:t>
      </w:r>
      <w:r>
        <w:rPr>
          <w:rStyle w:val="32"/>
          <w:rFonts w:hint="eastAsia"/>
        </w:rPr>
        <w:t xml:space="preserve"> 人员配备</w:t>
      </w:r>
      <w:r>
        <w:tab/>
      </w:r>
      <w:r>
        <w:fldChar w:fldCharType="begin"/>
      </w:r>
      <w:r>
        <w:instrText xml:space="preserve"> PAGEREF _Toc126479201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"_Toc126479202" </w:instrText>
      </w:r>
      <w:r>
        <w:fldChar w:fldCharType="separate"/>
      </w:r>
      <w:r>
        <w:rPr>
          <w:rStyle w:val="32"/>
        </w:rPr>
        <w:t>7.3</w:t>
      </w:r>
      <w:r>
        <w:rPr>
          <w:rStyle w:val="32"/>
          <w:rFonts w:hint="eastAsia"/>
        </w:rPr>
        <w:t xml:space="preserve"> 教育培训</w:t>
      </w:r>
      <w:r>
        <w:tab/>
      </w:r>
      <w:r>
        <w:fldChar w:fldCharType="begin"/>
      </w:r>
      <w:r>
        <w:instrText xml:space="preserve"> PAGEREF _Toc126479202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"_Toc126479203" </w:instrText>
      </w:r>
      <w:r>
        <w:fldChar w:fldCharType="separate"/>
      </w:r>
      <w:r>
        <w:rPr>
          <w:rStyle w:val="32"/>
        </w:rPr>
        <w:t>7.4</w:t>
      </w:r>
      <w:r>
        <w:rPr>
          <w:rStyle w:val="32"/>
          <w:rFonts w:hint="eastAsia"/>
        </w:rPr>
        <w:t xml:space="preserve"> 志愿者服务</w:t>
      </w:r>
      <w:r>
        <w:tab/>
      </w:r>
      <w:r>
        <w:fldChar w:fldCharType="begin"/>
      </w:r>
      <w:r>
        <w:instrText xml:space="preserve"> PAGEREF _Toc126479203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"_Toc126479204" </w:instrText>
      </w:r>
      <w:r>
        <w:fldChar w:fldCharType="separate"/>
      </w:r>
      <w:r>
        <w:rPr>
          <w:rStyle w:val="32"/>
        </w:rPr>
        <w:t>8</w:t>
      </w:r>
      <w:r>
        <w:rPr>
          <w:rStyle w:val="32"/>
          <w:rFonts w:hint="eastAsia"/>
        </w:rPr>
        <w:t xml:space="preserve"> 服务内容与形式</w:t>
      </w:r>
      <w:r>
        <w:tab/>
      </w:r>
      <w:r>
        <w:fldChar w:fldCharType="begin"/>
      </w:r>
      <w:r>
        <w:instrText xml:space="preserve"> PAGEREF _Toc126479204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"_Toc126479205" </w:instrText>
      </w:r>
      <w:r>
        <w:fldChar w:fldCharType="separate"/>
      </w:r>
      <w:r>
        <w:rPr>
          <w:rStyle w:val="32"/>
        </w:rPr>
        <w:t>8.1</w:t>
      </w:r>
      <w:r>
        <w:rPr>
          <w:rStyle w:val="32"/>
          <w:rFonts w:hint="eastAsia"/>
        </w:rPr>
        <w:t xml:space="preserve"> 服务原则</w:t>
      </w:r>
      <w:r>
        <w:tab/>
      </w:r>
      <w:r>
        <w:fldChar w:fldCharType="begin"/>
      </w:r>
      <w:r>
        <w:instrText xml:space="preserve"> PAGEREF _Toc126479205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"_Toc126479206" </w:instrText>
      </w:r>
      <w:r>
        <w:fldChar w:fldCharType="separate"/>
      </w:r>
      <w:r>
        <w:rPr>
          <w:rStyle w:val="32"/>
        </w:rPr>
        <w:t>8.2</w:t>
      </w:r>
      <w:r>
        <w:rPr>
          <w:rStyle w:val="32"/>
          <w:rFonts w:hint="eastAsia"/>
        </w:rPr>
        <w:t xml:space="preserve"> 服务内容</w:t>
      </w:r>
      <w:r>
        <w:tab/>
      </w:r>
      <w:r>
        <w:fldChar w:fldCharType="begin"/>
      </w:r>
      <w:r>
        <w:instrText xml:space="preserve"> PAGEREF _Toc126479206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"_Toc126479207" </w:instrText>
      </w:r>
      <w:r>
        <w:fldChar w:fldCharType="separate"/>
      </w:r>
      <w:r>
        <w:rPr>
          <w:rStyle w:val="32"/>
        </w:rPr>
        <w:t>8.3</w:t>
      </w:r>
      <w:r>
        <w:rPr>
          <w:rStyle w:val="32"/>
          <w:rFonts w:hint="eastAsia"/>
        </w:rPr>
        <w:t xml:space="preserve"> 服务形式</w:t>
      </w:r>
      <w:r>
        <w:tab/>
      </w:r>
      <w:r>
        <w:fldChar w:fldCharType="begin"/>
      </w:r>
      <w:r>
        <w:instrText xml:space="preserve"> PAGEREF _Toc126479207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"_Toc126479208" </w:instrText>
      </w:r>
      <w:r>
        <w:fldChar w:fldCharType="separate"/>
      </w:r>
      <w:r>
        <w:rPr>
          <w:rStyle w:val="32"/>
        </w:rPr>
        <w:t>9</w:t>
      </w:r>
      <w:r>
        <w:rPr>
          <w:rStyle w:val="32"/>
          <w:rFonts w:hint="eastAsia"/>
        </w:rPr>
        <w:t xml:space="preserve"> 服务要求</w:t>
      </w:r>
      <w:r>
        <w:tab/>
      </w:r>
      <w:r>
        <w:fldChar w:fldCharType="begin"/>
      </w:r>
      <w:r>
        <w:instrText xml:space="preserve"> PAGEREF _Toc126479208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"_Toc126479209" </w:instrText>
      </w:r>
      <w:r>
        <w:fldChar w:fldCharType="separate"/>
      </w:r>
      <w:r>
        <w:rPr>
          <w:rStyle w:val="32"/>
        </w:rPr>
        <w:t>9.1</w:t>
      </w:r>
      <w:r>
        <w:rPr>
          <w:rStyle w:val="32"/>
          <w:rFonts w:hint="eastAsia"/>
        </w:rPr>
        <w:t xml:space="preserve"> 服务时间</w:t>
      </w:r>
      <w:r>
        <w:tab/>
      </w:r>
      <w:r>
        <w:fldChar w:fldCharType="begin"/>
      </w:r>
      <w:r>
        <w:instrText xml:space="preserve"> PAGEREF _Toc126479209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"_Toc126479210" </w:instrText>
      </w:r>
      <w:r>
        <w:fldChar w:fldCharType="separate"/>
      </w:r>
      <w:r>
        <w:rPr>
          <w:rStyle w:val="32"/>
        </w:rPr>
        <w:t>9.2</w:t>
      </w:r>
      <w:r>
        <w:rPr>
          <w:rStyle w:val="32"/>
          <w:rFonts w:hint="eastAsia"/>
        </w:rPr>
        <w:t xml:space="preserve"> 服务告示</w:t>
      </w:r>
      <w:r>
        <w:tab/>
      </w:r>
      <w:r>
        <w:fldChar w:fldCharType="begin"/>
      </w:r>
      <w:r>
        <w:instrText xml:space="preserve"> PAGEREF _Toc126479210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"_Toc126479211" </w:instrText>
      </w:r>
      <w:r>
        <w:fldChar w:fldCharType="separate"/>
      </w:r>
      <w:r>
        <w:rPr>
          <w:rStyle w:val="32"/>
        </w:rPr>
        <w:t>9.3</w:t>
      </w:r>
      <w:r>
        <w:rPr>
          <w:rStyle w:val="32"/>
          <w:rFonts w:hint="eastAsia"/>
        </w:rPr>
        <w:t xml:space="preserve"> 资源推介</w:t>
      </w:r>
      <w:r>
        <w:tab/>
      </w:r>
      <w:r>
        <w:fldChar w:fldCharType="begin"/>
      </w:r>
      <w:r>
        <w:instrText xml:space="preserve"> PAGEREF _Toc126479211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"_Toc126479212" </w:instrText>
      </w:r>
      <w:r>
        <w:fldChar w:fldCharType="separate"/>
      </w:r>
      <w:r>
        <w:rPr>
          <w:rStyle w:val="32"/>
        </w:rPr>
        <w:t>9.4</w:t>
      </w:r>
      <w:r>
        <w:rPr>
          <w:rStyle w:val="32"/>
          <w:rFonts w:hint="eastAsia"/>
        </w:rPr>
        <w:t xml:space="preserve"> 服务指标</w:t>
      </w:r>
      <w:r>
        <w:tab/>
      </w:r>
      <w:r>
        <w:fldChar w:fldCharType="begin"/>
      </w:r>
      <w:r>
        <w:instrText xml:space="preserve"> PAGEREF _Toc126479212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"_Toc126479213" </w:instrText>
      </w:r>
      <w:r>
        <w:fldChar w:fldCharType="separate"/>
      </w:r>
      <w:r>
        <w:rPr>
          <w:rStyle w:val="32"/>
        </w:rPr>
        <w:t>9.5</w:t>
      </w:r>
      <w:r>
        <w:rPr>
          <w:rStyle w:val="32"/>
          <w:rFonts w:hint="eastAsia"/>
        </w:rPr>
        <w:t xml:space="preserve"> 经费保障</w:t>
      </w:r>
      <w:r>
        <w:tab/>
      </w:r>
      <w:r>
        <w:fldChar w:fldCharType="begin"/>
      </w:r>
      <w:r>
        <w:instrText xml:space="preserve"> PAGEREF _Toc126479213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"_Toc126479214" </w:instrText>
      </w:r>
      <w:r>
        <w:fldChar w:fldCharType="separate"/>
      </w:r>
      <w:r>
        <w:rPr>
          <w:rStyle w:val="32"/>
        </w:rPr>
        <w:t>10</w:t>
      </w:r>
      <w:r>
        <w:rPr>
          <w:rStyle w:val="32"/>
          <w:rFonts w:hint="eastAsia"/>
        </w:rPr>
        <w:t xml:space="preserve"> 服务宣传</w:t>
      </w:r>
      <w:r>
        <w:tab/>
      </w:r>
      <w:r>
        <w:fldChar w:fldCharType="begin"/>
      </w:r>
      <w:r>
        <w:instrText xml:space="preserve"> PAGEREF _Toc126479214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"_Toc126479215" </w:instrText>
      </w:r>
      <w:r>
        <w:fldChar w:fldCharType="separate"/>
      </w:r>
      <w:r>
        <w:rPr>
          <w:rStyle w:val="32"/>
        </w:rPr>
        <w:t>10.1</w:t>
      </w:r>
      <w:r>
        <w:rPr>
          <w:rStyle w:val="32"/>
          <w:rFonts w:hint="eastAsia"/>
        </w:rPr>
        <w:t xml:space="preserve"> 读者宣传</w:t>
      </w:r>
      <w:r>
        <w:tab/>
      </w:r>
      <w:r>
        <w:fldChar w:fldCharType="begin"/>
      </w:r>
      <w:r>
        <w:instrText xml:space="preserve"> PAGEREF _Toc126479215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"_Toc126479216" </w:instrText>
      </w:r>
      <w:r>
        <w:fldChar w:fldCharType="separate"/>
      </w:r>
      <w:r>
        <w:rPr>
          <w:rStyle w:val="32"/>
        </w:rPr>
        <w:t>10.2</w:t>
      </w:r>
      <w:r>
        <w:rPr>
          <w:rStyle w:val="32"/>
          <w:rFonts w:hint="eastAsia"/>
        </w:rPr>
        <w:t xml:space="preserve"> 活动宣传</w:t>
      </w:r>
      <w:r>
        <w:tab/>
      </w:r>
      <w:r>
        <w:fldChar w:fldCharType="begin"/>
      </w:r>
      <w:r>
        <w:instrText xml:space="preserve"> PAGEREF _Toc126479216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"_Toc126479217" </w:instrText>
      </w:r>
      <w:r>
        <w:fldChar w:fldCharType="separate"/>
      </w:r>
      <w:r>
        <w:rPr>
          <w:rStyle w:val="32"/>
        </w:rPr>
        <w:t>11</w:t>
      </w:r>
      <w:r>
        <w:rPr>
          <w:rStyle w:val="32"/>
          <w:rFonts w:hint="eastAsia"/>
        </w:rPr>
        <w:t xml:space="preserve"> 读者满意度调查</w:t>
      </w:r>
      <w:r>
        <w:tab/>
      </w:r>
      <w:r>
        <w:fldChar w:fldCharType="begin"/>
      </w:r>
      <w:r>
        <w:instrText xml:space="preserve"> PAGEREF _Toc126479217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"_Toc126479218" </w:instrText>
      </w:r>
      <w:r>
        <w:fldChar w:fldCharType="separate"/>
      </w:r>
      <w:r>
        <w:rPr>
          <w:rStyle w:val="32"/>
        </w:rPr>
        <w:t>12</w:t>
      </w:r>
      <w:r>
        <w:rPr>
          <w:rStyle w:val="32"/>
          <w:rFonts w:hint="eastAsia"/>
        </w:rPr>
        <w:t xml:space="preserve"> 服务监督、评价与改进</w:t>
      </w:r>
      <w:r>
        <w:tab/>
      </w:r>
      <w:r>
        <w:fldChar w:fldCharType="begin"/>
      </w:r>
      <w:r>
        <w:instrText xml:space="preserve"> PAGEREF _Toc126479218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"_Toc126479219" </w:instrText>
      </w:r>
      <w:r>
        <w:fldChar w:fldCharType="separate"/>
      </w:r>
      <w:r>
        <w:rPr>
          <w:rStyle w:val="32"/>
        </w:rPr>
        <w:t>12.1</w:t>
      </w:r>
      <w:r>
        <w:rPr>
          <w:rStyle w:val="32"/>
          <w:rFonts w:hint="eastAsia"/>
        </w:rPr>
        <w:t xml:space="preserve"> 监督途径与评价</w:t>
      </w:r>
      <w:r>
        <w:tab/>
      </w:r>
      <w:r>
        <w:fldChar w:fldCharType="begin"/>
      </w:r>
      <w:r>
        <w:instrText xml:space="preserve"> PAGEREF _Toc126479219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"_Toc126479220" </w:instrText>
      </w:r>
      <w:r>
        <w:fldChar w:fldCharType="separate"/>
      </w:r>
      <w:r>
        <w:rPr>
          <w:rStyle w:val="32"/>
        </w:rPr>
        <w:t>12.2</w:t>
      </w:r>
      <w:r>
        <w:rPr>
          <w:rStyle w:val="32"/>
          <w:rFonts w:hint="eastAsia"/>
        </w:rPr>
        <w:t xml:space="preserve"> 持续改进</w:t>
      </w:r>
      <w:r>
        <w:tab/>
      </w:r>
      <w:r>
        <w:fldChar w:fldCharType="begin"/>
      </w:r>
      <w:r>
        <w:instrText xml:space="preserve"> PAGEREF _Toc126479220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pPr>
        <w:pStyle w:val="89"/>
        <w:spacing w:after="468"/>
      </w:pPr>
      <w:bookmarkStart w:id="20" w:name="_Toc126479181"/>
      <w:bookmarkStart w:id="21" w:name="BookMark2"/>
      <w:r>
        <w:rPr>
          <w:spacing w:val="320"/>
        </w:rPr>
        <w:t>前</w:t>
      </w:r>
      <w:r>
        <w:t>言</w:t>
      </w:r>
      <w:bookmarkEnd w:id="19"/>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本文件由辽宁省文化和旅游厅提出并归口。</w:t>
      </w:r>
    </w:p>
    <w:p>
      <w:pPr>
        <w:pStyle w:val="56"/>
        <w:ind w:firstLine="420"/>
      </w:pPr>
      <w:r>
        <w:rPr>
          <w:rFonts w:hint="eastAsia"/>
        </w:rPr>
        <w:t>本文件起草单位：辽宁省图书馆（辽宁省古籍保护中心）。</w:t>
      </w:r>
    </w:p>
    <w:p>
      <w:pPr>
        <w:pStyle w:val="56"/>
        <w:ind w:firstLine="420"/>
      </w:pPr>
      <w:r>
        <w:rPr>
          <w:rFonts w:hint="eastAsia"/>
        </w:rPr>
        <w:t>本文件主要起草人：杜希林、姚杰、王方园、芦艺、李亚冰、赵瑞。</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rPr>
          <w:rFonts w:hint="default" w:eastAsia="宋体"/>
          <w:lang w:val="en-US" w:eastAsia="zh-CN"/>
        </w:rPr>
      </w:pPr>
      <w:r>
        <w:rPr>
          <w:rFonts w:hint="eastAsia"/>
        </w:rPr>
        <w:t>归口管理部门通讯地址：辽宁省沈阳市皇姑区北陵大街45-11号，联系电话：</w:t>
      </w:r>
      <w:r>
        <w:rPr>
          <w:rFonts w:hint="eastAsia"/>
          <w:lang w:val="en-US" w:eastAsia="zh-CN"/>
        </w:rPr>
        <w:t>024-24842505。</w:t>
      </w:r>
    </w:p>
    <w:p>
      <w:pPr>
        <w:pStyle w:val="56"/>
        <w:ind w:firstLine="420"/>
      </w:pPr>
      <w:r>
        <w:rPr>
          <w:rFonts w:hint="eastAsia"/>
        </w:rPr>
        <w:t>文件起草单位通讯地址：辽宁省沈阳市浑南区智慧二街168号，联系电话：024-24230145。</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AEA9593AB05F49BCABE1FAD4646963BB"/>
        </w:placeholder>
      </w:sdtPr>
      <w:sdtContent>
        <w:p>
          <w:pPr>
            <w:pStyle w:val="177"/>
            <w:spacing w:beforeLines="100" w:afterLines="220"/>
          </w:pPr>
          <w:bookmarkStart w:id="23" w:name="NEW_STAND_NAME"/>
          <w:r>
            <w:rPr>
              <w:rFonts w:hint="eastAsia"/>
            </w:rPr>
            <w:t>公共图书馆适老服务规范</w:t>
          </w:r>
        </w:p>
      </w:sdtContent>
    </w:sdt>
    <w:bookmarkEnd w:id="23"/>
    <w:p>
      <w:pPr>
        <w:pStyle w:val="104"/>
        <w:spacing w:before="312" w:after="312"/>
      </w:pPr>
      <w:bookmarkStart w:id="24" w:name="_Toc126479182"/>
      <w:bookmarkStart w:id="25" w:name="_Toc26718930"/>
      <w:bookmarkStart w:id="26" w:name="_Toc119589823"/>
      <w:bookmarkStart w:id="27" w:name="_Toc17233325"/>
      <w:bookmarkStart w:id="28" w:name="_Toc97191423"/>
      <w:bookmarkStart w:id="29" w:name="_Toc26986530"/>
      <w:bookmarkStart w:id="30" w:name="_Toc24884211"/>
      <w:bookmarkStart w:id="31" w:name="_Toc17233333"/>
      <w:bookmarkStart w:id="32" w:name="_Toc26648465"/>
      <w:bookmarkStart w:id="33" w:name="_Toc26986771"/>
      <w:bookmarkStart w:id="34" w:name="_Toc24884218"/>
      <w:r>
        <w:rPr>
          <w:rFonts w:hint="eastAsia"/>
        </w:rPr>
        <w:t>范围</w:t>
      </w:r>
      <w:bookmarkEnd w:id="24"/>
      <w:bookmarkEnd w:id="25"/>
      <w:bookmarkEnd w:id="26"/>
      <w:bookmarkEnd w:id="27"/>
      <w:bookmarkEnd w:id="28"/>
      <w:bookmarkEnd w:id="29"/>
      <w:bookmarkEnd w:id="30"/>
      <w:bookmarkEnd w:id="31"/>
      <w:bookmarkEnd w:id="32"/>
      <w:bookmarkEnd w:id="33"/>
      <w:bookmarkEnd w:id="34"/>
    </w:p>
    <w:p>
      <w:pPr>
        <w:pStyle w:val="56"/>
        <w:ind w:firstLine="420"/>
      </w:pPr>
      <w:bookmarkStart w:id="35" w:name="_Toc17233334"/>
      <w:bookmarkStart w:id="36" w:name="_Toc26648466"/>
      <w:bookmarkStart w:id="37" w:name="_Toc24884212"/>
      <w:bookmarkStart w:id="38" w:name="_Toc24884219"/>
      <w:bookmarkStart w:id="39" w:name="_Toc17233326"/>
      <w:r>
        <w:rPr>
          <w:rFonts w:hint="eastAsia"/>
        </w:rPr>
        <w:t>本文件规定了公共图书馆适老服务的术语和定义、基本原则、适老化建设、文献资源、人力资源、适老服务内容与形式、服务要求、服务宣传、服务监督、评价及改进的要求。</w:t>
      </w:r>
    </w:p>
    <w:p>
      <w:pPr>
        <w:pStyle w:val="56"/>
        <w:ind w:firstLine="420"/>
      </w:pPr>
      <w:r>
        <w:rPr>
          <w:rFonts w:hint="eastAsia"/>
        </w:rPr>
        <w:t>本文件适用于公共图书馆适老服务。</w:t>
      </w:r>
    </w:p>
    <w:p>
      <w:pPr>
        <w:pStyle w:val="104"/>
        <w:spacing w:before="312" w:after="312"/>
      </w:pPr>
      <w:bookmarkStart w:id="40" w:name="_Toc26986772"/>
      <w:bookmarkStart w:id="41" w:name="_Toc126479183"/>
      <w:bookmarkStart w:id="42" w:name="_Toc26718931"/>
      <w:bookmarkStart w:id="43" w:name="_Toc119589824"/>
      <w:bookmarkStart w:id="44" w:name="_Toc97191424"/>
      <w:bookmarkStart w:id="45" w:name="_Toc26986531"/>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CC6C8D6563134A8B9C655C7E9687CC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pPr>
      <w:r>
        <w:rPr>
          <w:rFonts w:hint="eastAsia"/>
        </w:rPr>
        <w:t>GB/T 28220—2011  公共图书</w:t>
      </w:r>
      <w:bookmarkStart w:id="169" w:name="_GoBack"/>
      <w:bookmarkEnd w:id="169"/>
      <w:r>
        <w:rPr>
          <w:rFonts w:hint="eastAsia"/>
        </w:rPr>
        <w:t>馆服务规范</w:t>
      </w:r>
    </w:p>
    <w:p>
      <w:pPr>
        <w:pStyle w:val="231"/>
      </w:pPr>
      <w:r>
        <w:rPr>
          <w:rFonts w:hint="eastAsia"/>
        </w:rPr>
        <w:t>GB/T 31015  公共信息导向系统 基于无障碍需求的设计与设置原则</w:t>
      </w:r>
    </w:p>
    <w:p>
      <w:pPr>
        <w:pStyle w:val="231"/>
      </w:pPr>
      <w:r>
        <w:rPr>
          <w:rFonts w:hint="eastAsia"/>
        </w:rPr>
        <w:t>GB 50763  无障碍设计规范</w:t>
      </w:r>
    </w:p>
    <w:p>
      <w:pPr>
        <w:pStyle w:val="231"/>
      </w:pPr>
      <w:r>
        <w:rPr>
          <w:rFonts w:hint="eastAsia"/>
        </w:rPr>
        <w:t>JGJ 38—2015  图书馆建筑设计规范</w:t>
      </w:r>
    </w:p>
    <w:p>
      <w:pPr>
        <w:pStyle w:val="56"/>
        <w:ind w:firstLine="420"/>
      </w:pPr>
      <w:r>
        <w:t>YD/T 1761</w:t>
      </w:r>
      <w:r>
        <w:rPr>
          <w:rFonts w:hint="eastAsia"/>
        </w:rPr>
        <w:t>—2012</w:t>
      </w:r>
      <w:r>
        <w:t xml:space="preserve"> </w:t>
      </w:r>
      <w:r>
        <w:rPr>
          <w:rFonts w:hint="eastAsia"/>
        </w:rPr>
        <w:t xml:space="preserve"> 网站设计无障碍技术要求</w:t>
      </w:r>
    </w:p>
    <w:p>
      <w:pPr>
        <w:pStyle w:val="56"/>
        <w:ind w:firstLine="420"/>
      </w:pPr>
      <w:r>
        <w:rPr>
          <w:rFonts w:hint="eastAsia"/>
        </w:rPr>
        <w:t>JGJ 122 老年人建筑设计规范</w:t>
      </w:r>
    </w:p>
    <w:p>
      <w:pPr>
        <w:pStyle w:val="56"/>
        <w:ind w:firstLine="420"/>
      </w:pPr>
      <w:r>
        <w:rPr>
          <w:rFonts w:hint="eastAsia"/>
        </w:rPr>
        <w:t>建标 108—2008 公共图书馆建设标准</w:t>
      </w:r>
    </w:p>
    <w:p>
      <w:pPr>
        <w:pStyle w:val="104"/>
        <w:spacing w:before="312" w:after="312"/>
      </w:pPr>
      <w:bookmarkStart w:id="46" w:name="_Toc119589825"/>
      <w:bookmarkStart w:id="47" w:name="_Toc126479184"/>
      <w:bookmarkStart w:id="48" w:name="_Toc97191425"/>
      <w:r>
        <w:rPr>
          <w:rFonts w:hint="eastAsia"/>
          <w:szCs w:val="21"/>
        </w:rPr>
        <w:t>术语和定义</w:t>
      </w:r>
      <w:bookmarkEnd w:id="46"/>
      <w:bookmarkEnd w:id="47"/>
      <w:bookmarkEnd w:id="48"/>
    </w:p>
    <w:sdt>
      <w:sdtPr>
        <w:id w:val="-1909835108"/>
        <w:placeholder>
          <w:docPart w:val="31DC788E395C45ECAF8A51AE1F6DA8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105"/>
        <w:spacing w:before="156" w:after="156"/>
      </w:pPr>
      <w:bookmarkStart w:id="50" w:name="_Toc126315973"/>
      <w:bookmarkEnd w:id="50"/>
      <w:bookmarkStart w:id="51" w:name="_Toc119589826"/>
      <w:bookmarkEnd w:id="51"/>
      <w:bookmarkStart w:id="52" w:name="_Toc123890180"/>
      <w:bookmarkEnd w:id="52"/>
      <w:bookmarkStart w:id="53" w:name="_Toc119596012"/>
      <w:bookmarkEnd w:id="53"/>
      <w:bookmarkStart w:id="54" w:name="_Toc126479185"/>
      <w:bookmarkEnd w:id="54"/>
      <w:bookmarkStart w:id="55" w:name="_Toc119589881"/>
      <w:bookmarkEnd w:id="55"/>
    </w:p>
    <w:p>
      <w:pPr>
        <w:pStyle w:val="56"/>
        <w:ind w:firstLine="420"/>
        <w:rPr>
          <w:rFonts w:ascii="黑体" w:hAnsi="黑体" w:eastAsia="黑体"/>
        </w:rPr>
      </w:pPr>
      <w:r>
        <w:rPr>
          <w:rFonts w:hint="eastAsia" w:ascii="黑体" w:hAnsi="黑体" w:eastAsia="黑体"/>
        </w:rPr>
        <w:t xml:space="preserve">适老服务  </w:t>
      </w:r>
      <w:r>
        <w:rPr>
          <w:rFonts w:ascii="黑体" w:hAnsi="黑体" w:eastAsia="黑体"/>
        </w:rPr>
        <w:t>aging service</w:t>
      </w:r>
    </w:p>
    <w:p>
      <w:pPr>
        <w:pStyle w:val="56"/>
        <w:ind w:firstLine="420"/>
        <w:rPr>
          <w:rFonts w:hAnsi="宋体"/>
        </w:rPr>
      </w:pPr>
      <w:r>
        <w:rPr>
          <w:rFonts w:hint="eastAsia" w:hAnsi="宋体"/>
        </w:rPr>
        <w:t>公共图书馆结合老年人的生理、心理和行为特点，通过物理空间改造、辅助器具适配和智能安全监控配置等,并提供适应、满足老年读者对知识、信息和相关文化活动需求的配套与服务。</w:t>
      </w:r>
    </w:p>
    <w:p>
      <w:pPr>
        <w:pStyle w:val="105"/>
        <w:spacing w:before="156" w:after="156"/>
      </w:pPr>
      <w:bookmarkStart w:id="56" w:name="_Toc126479186"/>
      <w:bookmarkEnd w:id="56"/>
      <w:bookmarkStart w:id="57" w:name="_Toc119589882"/>
      <w:bookmarkEnd w:id="57"/>
      <w:bookmarkStart w:id="58" w:name="_Toc119596013"/>
      <w:bookmarkEnd w:id="58"/>
      <w:bookmarkStart w:id="59" w:name="_Toc126315974"/>
      <w:bookmarkEnd w:id="59"/>
      <w:bookmarkStart w:id="60" w:name="_Toc123890181"/>
      <w:bookmarkEnd w:id="60"/>
      <w:bookmarkStart w:id="61" w:name="_Toc119589827"/>
      <w:bookmarkEnd w:id="61"/>
    </w:p>
    <w:p>
      <w:pPr>
        <w:pStyle w:val="231"/>
        <w:rPr>
          <w:rFonts w:ascii="黑体" w:eastAsia="黑体"/>
          <w:bCs/>
        </w:rPr>
      </w:pPr>
      <w:r>
        <w:rPr>
          <w:rFonts w:hint="eastAsia" w:ascii="黑体" w:eastAsia="黑体"/>
          <w:bCs/>
        </w:rPr>
        <w:t xml:space="preserve">无障碍设施  </w:t>
      </w:r>
      <w:r>
        <w:rPr>
          <w:rFonts w:ascii="黑体" w:eastAsia="黑体"/>
          <w:bCs/>
        </w:rPr>
        <w:t>accessibility facilities</w:t>
      </w:r>
    </w:p>
    <w:p>
      <w:pPr>
        <w:pStyle w:val="231"/>
      </w:pPr>
      <w:r>
        <w:rPr>
          <w:rFonts w:hint="eastAsia"/>
        </w:rPr>
        <w:t>为方便残疾人或行动不便者设计的使之能参与正常活动的设施。</w:t>
      </w:r>
    </w:p>
    <w:p>
      <w:pPr>
        <w:pStyle w:val="105"/>
        <w:spacing w:before="156" w:after="156"/>
      </w:pPr>
      <w:bookmarkStart w:id="62" w:name="_Toc126315975"/>
      <w:bookmarkEnd w:id="62"/>
      <w:bookmarkStart w:id="63" w:name="_Toc123890182"/>
      <w:bookmarkEnd w:id="63"/>
      <w:bookmarkStart w:id="64" w:name="_Toc126479187"/>
      <w:bookmarkEnd w:id="64"/>
      <w:bookmarkStart w:id="65" w:name="_Toc119596014"/>
      <w:bookmarkEnd w:id="65"/>
      <w:bookmarkStart w:id="66" w:name="_Toc119589828"/>
      <w:bookmarkEnd w:id="66"/>
      <w:bookmarkStart w:id="67" w:name="_Toc119589883"/>
      <w:bookmarkEnd w:id="67"/>
    </w:p>
    <w:p>
      <w:pPr>
        <w:pStyle w:val="231"/>
        <w:rPr>
          <w:rFonts w:ascii="黑体" w:eastAsia="黑体"/>
          <w:bCs/>
        </w:rPr>
      </w:pPr>
      <w:r>
        <w:rPr>
          <w:rFonts w:hint="eastAsia" w:ascii="黑体" w:eastAsia="黑体"/>
          <w:bCs/>
        </w:rPr>
        <w:t>老年读者  e</w:t>
      </w:r>
      <w:r>
        <w:rPr>
          <w:rFonts w:ascii="黑体" w:eastAsia="黑体"/>
          <w:bCs/>
        </w:rPr>
        <w:t>lderly</w:t>
      </w:r>
      <w:r>
        <w:rPr>
          <w:rFonts w:hint="eastAsia" w:ascii="黑体" w:eastAsia="黑体"/>
          <w:bCs/>
        </w:rPr>
        <w:t xml:space="preserve"> readers</w:t>
      </w:r>
    </w:p>
    <w:p>
      <w:pPr>
        <w:pStyle w:val="231"/>
      </w:pPr>
      <w:r>
        <w:rPr>
          <w:rFonts w:hint="eastAsia"/>
        </w:rPr>
        <w:t>读者年龄在六十周岁及以上。</w:t>
      </w:r>
    </w:p>
    <w:p>
      <w:pPr>
        <w:pStyle w:val="105"/>
        <w:spacing w:before="156" w:after="156"/>
      </w:pPr>
      <w:bookmarkStart w:id="68" w:name="_Toc126315976"/>
      <w:bookmarkEnd w:id="68"/>
      <w:bookmarkStart w:id="69" w:name="_Toc126479188"/>
      <w:bookmarkEnd w:id="69"/>
      <w:bookmarkStart w:id="70" w:name="_Toc123890183"/>
      <w:bookmarkEnd w:id="70"/>
      <w:bookmarkStart w:id="71" w:name="_Toc119589884"/>
      <w:bookmarkEnd w:id="71"/>
      <w:bookmarkStart w:id="72" w:name="_Toc119589829"/>
      <w:bookmarkEnd w:id="72"/>
      <w:bookmarkStart w:id="73" w:name="_Toc119596015"/>
      <w:bookmarkEnd w:id="73"/>
    </w:p>
    <w:p>
      <w:pPr>
        <w:pStyle w:val="231"/>
        <w:rPr>
          <w:rFonts w:ascii="黑体" w:eastAsia="黑体"/>
          <w:bCs/>
        </w:rPr>
      </w:pPr>
      <w:r>
        <w:rPr>
          <w:rFonts w:hint="eastAsia" w:ascii="黑体" w:eastAsia="黑体"/>
          <w:bCs/>
        </w:rPr>
        <w:t>适老化阅览室  a</w:t>
      </w:r>
      <w:r>
        <w:rPr>
          <w:rFonts w:ascii="黑体" w:eastAsia="黑体"/>
          <w:bCs/>
        </w:rPr>
        <w:t>ging reading room</w:t>
      </w:r>
    </w:p>
    <w:p>
      <w:pPr>
        <w:pStyle w:val="231"/>
      </w:pPr>
      <w:r>
        <w:rPr>
          <w:rFonts w:hint="eastAsia"/>
        </w:rPr>
        <w:t>公共图书馆经适老化设计或适老化改造后，为老年读者提供文化阅读服务的专门场所。</w:t>
      </w:r>
    </w:p>
    <w:p>
      <w:pPr>
        <w:pStyle w:val="105"/>
        <w:spacing w:before="156" w:after="156"/>
      </w:pPr>
      <w:bookmarkStart w:id="74" w:name="_Toc123890184"/>
      <w:bookmarkEnd w:id="74"/>
      <w:bookmarkStart w:id="75" w:name="_Toc119596016"/>
      <w:bookmarkEnd w:id="75"/>
      <w:bookmarkStart w:id="76" w:name="_Toc119589885"/>
      <w:bookmarkEnd w:id="76"/>
      <w:bookmarkStart w:id="77" w:name="_Toc119589830"/>
      <w:bookmarkEnd w:id="77"/>
      <w:bookmarkStart w:id="78" w:name="_Toc126315977"/>
      <w:bookmarkEnd w:id="78"/>
      <w:bookmarkStart w:id="79" w:name="_Toc126479189"/>
      <w:bookmarkEnd w:id="79"/>
    </w:p>
    <w:p>
      <w:pPr>
        <w:pStyle w:val="231"/>
        <w:rPr>
          <w:rFonts w:ascii="黑体" w:eastAsia="黑体"/>
          <w:bCs/>
          <w:color w:val="000000"/>
        </w:rPr>
      </w:pPr>
      <w:r>
        <w:rPr>
          <w:rFonts w:hint="eastAsia" w:ascii="黑体" w:eastAsia="黑体"/>
          <w:bCs/>
          <w:color w:val="000000"/>
        </w:rPr>
        <w:t>听书设备  l</w:t>
      </w:r>
      <w:r>
        <w:rPr>
          <w:rFonts w:ascii="黑体" w:eastAsia="黑体"/>
          <w:bCs/>
          <w:color w:val="000000"/>
        </w:rPr>
        <w:t>istening equipment</w:t>
      </w:r>
    </w:p>
    <w:p>
      <w:pPr>
        <w:pStyle w:val="231"/>
      </w:pPr>
      <w:r>
        <w:rPr>
          <w:rFonts w:hint="eastAsia"/>
        </w:rPr>
        <w:t>播放有声资源或利用语音合成技术（Text To Speech，简称TTS技术）将电子文本转化为语音的装置或器具。</w:t>
      </w:r>
    </w:p>
    <w:p>
      <w:pPr>
        <w:pStyle w:val="105"/>
        <w:spacing w:before="156" w:after="156"/>
      </w:pPr>
      <w:bookmarkStart w:id="80" w:name="_Toc119596017"/>
      <w:bookmarkEnd w:id="80"/>
      <w:bookmarkStart w:id="81" w:name="_Toc126315978"/>
      <w:bookmarkEnd w:id="81"/>
      <w:bookmarkStart w:id="82" w:name="_Toc119589831"/>
      <w:bookmarkEnd w:id="82"/>
      <w:bookmarkStart w:id="83" w:name="_Toc123890185"/>
      <w:bookmarkEnd w:id="83"/>
      <w:bookmarkStart w:id="84" w:name="_Toc126479190"/>
      <w:bookmarkEnd w:id="84"/>
      <w:bookmarkStart w:id="85" w:name="_Toc119589886"/>
      <w:bookmarkEnd w:id="85"/>
    </w:p>
    <w:p>
      <w:pPr>
        <w:pStyle w:val="231"/>
        <w:rPr>
          <w:rFonts w:ascii="黑体" w:eastAsia="黑体"/>
          <w:bCs/>
          <w:color w:val="000000"/>
        </w:rPr>
      </w:pPr>
      <w:r>
        <w:rPr>
          <w:rFonts w:hint="eastAsia" w:ascii="黑体" w:eastAsia="黑体"/>
          <w:bCs/>
          <w:color w:val="000000"/>
        </w:rPr>
        <w:t>助视设备  v</w:t>
      </w:r>
      <w:r>
        <w:rPr>
          <w:rFonts w:ascii="黑体" w:eastAsia="黑体"/>
          <w:bCs/>
          <w:color w:val="000000"/>
        </w:rPr>
        <w:t>isual aids</w:t>
      </w:r>
    </w:p>
    <w:p>
      <w:pPr>
        <w:pStyle w:val="231"/>
      </w:pPr>
      <w:r>
        <w:rPr>
          <w:rFonts w:hint="eastAsia"/>
        </w:rPr>
        <w:t>改善或提高低视力者视觉能力的装置或器具。</w:t>
      </w:r>
    </w:p>
    <w:p>
      <w:pPr>
        <w:pStyle w:val="105"/>
        <w:spacing w:before="156" w:after="156"/>
      </w:pPr>
      <w:bookmarkStart w:id="86" w:name="_Toc126479191"/>
      <w:bookmarkEnd w:id="86"/>
      <w:bookmarkStart w:id="87" w:name="_Toc126315979"/>
      <w:bookmarkEnd w:id="87"/>
      <w:bookmarkStart w:id="88" w:name="_Toc119589832"/>
      <w:bookmarkEnd w:id="88"/>
      <w:bookmarkStart w:id="89" w:name="_Toc119589887"/>
      <w:bookmarkEnd w:id="89"/>
      <w:bookmarkStart w:id="90" w:name="_Toc123890186"/>
      <w:bookmarkEnd w:id="90"/>
      <w:bookmarkStart w:id="91" w:name="_Toc119596018"/>
      <w:bookmarkEnd w:id="91"/>
    </w:p>
    <w:p>
      <w:pPr>
        <w:pStyle w:val="231"/>
        <w:rPr>
          <w:rFonts w:ascii="黑体" w:eastAsia="黑体"/>
          <w:bCs/>
          <w:color w:val="000000"/>
        </w:rPr>
      </w:pPr>
      <w:r>
        <w:rPr>
          <w:rFonts w:hint="eastAsia" w:ascii="黑体" w:eastAsia="黑体"/>
          <w:bCs/>
          <w:color w:val="000000"/>
        </w:rPr>
        <w:t>大字读物  l</w:t>
      </w:r>
      <w:r>
        <w:rPr>
          <w:rFonts w:ascii="黑体" w:eastAsia="黑体"/>
          <w:bCs/>
          <w:color w:val="000000"/>
        </w:rPr>
        <w:t>arge character reading materials</w:t>
      </w:r>
    </w:p>
    <w:p>
      <w:pPr>
        <w:pStyle w:val="231"/>
      </w:pPr>
      <w:r>
        <w:rPr>
          <w:rFonts w:hint="eastAsia"/>
        </w:rPr>
        <w:t>专门为低视力者设计，以特定字体、字号制作的出版物。</w:t>
      </w:r>
    </w:p>
    <w:p>
      <w:pPr>
        <w:pStyle w:val="105"/>
        <w:spacing w:before="156" w:after="156"/>
      </w:pPr>
      <w:bookmarkStart w:id="92" w:name="_Toc126479192"/>
      <w:bookmarkEnd w:id="92"/>
      <w:bookmarkStart w:id="93" w:name="_Toc119589888"/>
      <w:bookmarkEnd w:id="93"/>
      <w:bookmarkStart w:id="94" w:name="_Toc123890187"/>
      <w:bookmarkEnd w:id="94"/>
      <w:bookmarkStart w:id="95" w:name="_Toc119596019"/>
      <w:bookmarkEnd w:id="95"/>
      <w:bookmarkStart w:id="96" w:name="_Toc126315980"/>
      <w:bookmarkEnd w:id="96"/>
      <w:bookmarkStart w:id="97" w:name="_Toc119589833"/>
      <w:bookmarkEnd w:id="97"/>
    </w:p>
    <w:p>
      <w:pPr>
        <w:pStyle w:val="231"/>
        <w:rPr>
          <w:rFonts w:ascii="黑体" w:eastAsia="黑体"/>
          <w:bCs/>
          <w:color w:val="000000"/>
        </w:rPr>
      </w:pPr>
      <w:r>
        <w:rPr>
          <w:rFonts w:hint="eastAsia" w:ascii="黑体" w:eastAsia="黑体"/>
          <w:bCs/>
          <w:color w:val="000000"/>
        </w:rPr>
        <w:t>无障碍影视作品  barrier-free film and television works</w:t>
      </w:r>
    </w:p>
    <w:p>
      <w:pPr>
        <w:pStyle w:val="56"/>
        <w:ind w:firstLine="420"/>
      </w:pPr>
      <w:r>
        <w:rPr>
          <w:rFonts w:hint="eastAsia"/>
        </w:rPr>
        <w:t>配有画面解说、字幕、手语的音像出版物。</w:t>
      </w:r>
    </w:p>
    <w:p>
      <w:pPr>
        <w:pStyle w:val="104"/>
        <w:spacing w:before="312" w:after="312"/>
      </w:pPr>
      <w:bookmarkStart w:id="98" w:name="_Toc126479193"/>
      <w:r>
        <w:rPr>
          <w:rFonts w:hint="eastAsia"/>
        </w:rPr>
        <w:t>基本原则</w:t>
      </w:r>
      <w:bookmarkEnd w:id="98"/>
    </w:p>
    <w:p>
      <w:pPr>
        <w:pStyle w:val="162"/>
      </w:pPr>
      <w:r>
        <w:rPr>
          <w:rFonts w:hint="eastAsia"/>
        </w:rPr>
        <w:t>读者第一，服务至上。</w:t>
      </w:r>
      <w:r>
        <w:rPr>
          <w:rFonts w:hint="eastAsia" w:ascii="MS Mincho" w:hAnsi="MS Mincho" w:eastAsia="MS Mincho" w:cs="MS Mincho"/>
        </w:rPr>
        <w:t>‎</w:t>
      </w:r>
    </w:p>
    <w:p>
      <w:pPr>
        <w:pStyle w:val="162"/>
      </w:pPr>
      <w:r>
        <w:rPr>
          <w:rFonts w:hint="eastAsia"/>
        </w:rPr>
        <w:t>尊敬老人，恪尽职守。</w:t>
      </w:r>
    </w:p>
    <w:p>
      <w:pPr>
        <w:pStyle w:val="162"/>
      </w:pPr>
      <w:r>
        <w:rPr>
          <w:rFonts w:hint="eastAsia"/>
        </w:rPr>
        <w:t>开放</w:t>
      </w:r>
      <w:r>
        <w:rPr>
          <w:rFonts w:hint="eastAsia" w:ascii="MS Mincho" w:hAnsi="MS Mincho" w:eastAsia="MS Mincho" w:cs="MS Mincho"/>
        </w:rPr>
        <w:t>‎</w:t>
      </w:r>
      <w:r>
        <w:rPr>
          <w:rFonts w:hint="eastAsia"/>
        </w:rPr>
        <w:t>免费，便利平等。</w:t>
      </w:r>
    </w:p>
    <w:p>
      <w:pPr>
        <w:pStyle w:val="162"/>
      </w:pPr>
      <w:r>
        <w:rPr>
          <w:rFonts w:hint="eastAsia"/>
        </w:rPr>
        <w:t>安全保障，便捷有效。</w:t>
      </w:r>
    </w:p>
    <w:p>
      <w:pPr>
        <w:pStyle w:val="104"/>
        <w:spacing w:before="312" w:after="312"/>
        <w:rPr>
          <w:bCs/>
        </w:rPr>
      </w:pPr>
      <w:bookmarkStart w:id="99" w:name="_Toc126479194"/>
      <w:r>
        <w:rPr>
          <w:rFonts w:hint="eastAsia"/>
          <w:bCs/>
        </w:rPr>
        <w:t>适老化建设</w:t>
      </w:r>
      <w:bookmarkEnd w:id="99"/>
    </w:p>
    <w:p>
      <w:pPr>
        <w:pStyle w:val="105"/>
        <w:spacing w:before="156" w:after="156"/>
        <w:rPr>
          <w:bCs/>
        </w:rPr>
      </w:pPr>
      <w:bookmarkStart w:id="100" w:name="_Toc126479195"/>
      <w:bookmarkStart w:id="101" w:name="_Toc119589841"/>
      <w:bookmarkStart w:id="102" w:name="_Toc123890194"/>
      <w:r>
        <w:rPr>
          <w:rFonts w:hint="eastAsia"/>
          <w:bCs/>
        </w:rPr>
        <w:t>场馆建设</w:t>
      </w:r>
      <w:bookmarkEnd w:id="100"/>
      <w:bookmarkEnd w:id="101"/>
      <w:bookmarkEnd w:id="102"/>
    </w:p>
    <w:p>
      <w:pPr>
        <w:pStyle w:val="65"/>
        <w:spacing w:before="156" w:after="156"/>
        <w:ind w:left="0"/>
      </w:pPr>
      <w:bookmarkStart w:id="103" w:name="_Toc119589843"/>
      <w:bookmarkStart w:id="104" w:name="_Toc119589842"/>
      <w:r>
        <w:rPr>
          <w:rFonts w:hint="eastAsia"/>
        </w:rPr>
        <w:t>选址</w:t>
      </w:r>
      <w:bookmarkEnd w:id="103"/>
    </w:p>
    <w:p>
      <w:pPr>
        <w:pStyle w:val="164"/>
      </w:pPr>
      <w:r>
        <w:rPr>
          <w:rFonts w:hint="eastAsia"/>
        </w:rPr>
        <w:t>选址应在市区或公共交通相对便利的区域，方便老年读者出行。</w:t>
      </w:r>
    </w:p>
    <w:p>
      <w:pPr>
        <w:pStyle w:val="164"/>
      </w:pPr>
      <w:r>
        <w:rPr>
          <w:rFonts w:hint="eastAsia"/>
        </w:rPr>
        <w:t>在老龄化程度较高的城市与地区，条件允许宜单独设置适老化图书室或图书馆。</w:t>
      </w:r>
    </w:p>
    <w:p>
      <w:pPr>
        <w:pStyle w:val="164"/>
      </w:pPr>
      <w:r>
        <w:rPr>
          <w:rFonts w:hint="eastAsia"/>
        </w:rPr>
        <w:t>应结合老年读者的生理条件和心理特点，将适老化阅览室设在图书馆本体建筑物与社会公共通道之间的平行层，按照GB/T 28220中建筑功能总体布局的要求实施。</w:t>
      </w:r>
    </w:p>
    <w:p>
      <w:pPr>
        <w:pStyle w:val="65"/>
        <w:spacing w:before="156" w:after="156"/>
        <w:ind w:left="0"/>
      </w:pPr>
      <w:bookmarkStart w:id="105" w:name="_Toc119589845"/>
      <w:r>
        <w:rPr>
          <w:rFonts w:hint="eastAsia"/>
        </w:rPr>
        <w:t>空间布局</w:t>
      </w:r>
      <w:bookmarkEnd w:id="105"/>
    </w:p>
    <w:p>
      <w:pPr>
        <w:pStyle w:val="164"/>
      </w:pPr>
      <w:r>
        <w:rPr>
          <w:rFonts w:hint="eastAsia"/>
        </w:rPr>
        <w:t>空间布局应以老年人读者服务为中心，做到分区明确、布局合理、流线通畅、通风良好。</w:t>
      </w:r>
    </w:p>
    <w:p>
      <w:pPr>
        <w:pStyle w:val="164"/>
      </w:pPr>
      <w:r>
        <w:rPr>
          <w:rFonts w:hint="eastAsia"/>
        </w:rPr>
        <w:t>应充分考虑老年人的特殊性，按照建标108和JGJ 122规定进行无障碍设施建设，包括但不限于：</w:t>
      </w:r>
    </w:p>
    <w:p>
      <w:pPr>
        <w:pStyle w:val="132"/>
      </w:pPr>
      <w:r>
        <w:rPr>
          <w:rFonts w:hint="eastAsia"/>
        </w:rPr>
        <w:t>对原有设施进行无障碍化、适老化改造；</w:t>
      </w:r>
    </w:p>
    <w:p>
      <w:pPr>
        <w:pStyle w:val="132"/>
      </w:pPr>
      <w:r>
        <w:rPr>
          <w:rFonts w:hint="eastAsia"/>
        </w:rPr>
        <w:t>适当降低原有阶梯的高度，在馆内设置无障碍通道和扶手，铺设防滑地板，高楼层图书馆应安装直升式电梯；</w:t>
      </w:r>
    </w:p>
    <w:p>
      <w:pPr>
        <w:pStyle w:val="132"/>
      </w:pPr>
      <w:r>
        <w:rPr>
          <w:rFonts w:hint="eastAsia"/>
        </w:rPr>
        <w:t>馆内的各种指示牌、标识、通知、公告等应醒目规范、简单明了。</w:t>
      </w:r>
    </w:p>
    <w:p>
      <w:pPr>
        <w:pStyle w:val="164"/>
      </w:pPr>
      <w:r>
        <w:rPr>
          <w:rFonts w:hint="eastAsia"/>
        </w:rPr>
        <w:t>适老化设计建造应符合JGJ 38关于图书馆建筑设计的有关要求设立适老化阅览室等活动空间。</w:t>
      </w:r>
    </w:p>
    <w:p>
      <w:pPr>
        <w:pStyle w:val="164"/>
      </w:pPr>
      <w:r>
        <w:rPr>
          <w:rFonts w:hint="eastAsia"/>
        </w:rPr>
        <w:t>应保证适老化阅览室面积不少于300㎡，阅览室坐席不少于50个。</w:t>
      </w:r>
    </w:p>
    <w:p>
      <w:pPr>
        <w:pStyle w:val="164"/>
      </w:pPr>
      <w:r>
        <w:rPr>
          <w:rFonts w:hint="eastAsia"/>
        </w:rPr>
        <w:t>适老化阅览室宜设置服务台，可利用四周墙面设置书架，在房屋中间设置阅览区及活动区（如条件允许，可单独设置藏书区、阅览区、活动区等功能区，在阅览区配备阅览桌椅等适合老年读者使用的阅览设施）。</w:t>
      </w:r>
    </w:p>
    <w:bookmarkEnd w:id="104"/>
    <w:p>
      <w:pPr>
        <w:pStyle w:val="105"/>
        <w:spacing w:before="156" w:after="156"/>
      </w:pPr>
      <w:bookmarkStart w:id="106" w:name="_Toc119589844"/>
      <w:bookmarkStart w:id="107" w:name="_Toc126479196"/>
      <w:r>
        <w:rPr>
          <w:rFonts w:hint="eastAsia"/>
        </w:rPr>
        <w:t>环境</w:t>
      </w:r>
      <w:bookmarkEnd w:id="106"/>
      <w:r>
        <w:rPr>
          <w:rFonts w:hint="eastAsia"/>
        </w:rPr>
        <w:t>建设</w:t>
      </w:r>
      <w:bookmarkEnd w:id="107"/>
    </w:p>
    <w:p>
      <w:pPr>
        <w:pStyle w:val="56"/>
        <w:ind w:firstLine="420"/>
      </w:pPr>
      <w:r>
        <w:rPr>
          <w:rFonts w:hint="eastAsia"/>
        </w:rPr>
        <w:t>包括但不限于以下内容：</w:t>
      </w:r>
    </w:p>
    <w:p>
      <w:pPr>
        <w:pStyle w:val="132"/>
      </w:pPr>
      <w:r>
        <w:rPr>
          <w:rFonts w:hint="eastAsia"/>
        </w:rPr>
        <w:t>按照GB 50763规定配备无障碍设施，按照GB/T 31015规定设置无障碍导引标识；</w:t>
      </w:r>
    </w:p>
    <w:p>
      <w:pPr>
        <w:pStyle w:val="132"/>
      </w:pPr>
      <w:r>
        <w:rPr>
          <w:rFonts w:hint="eastAsia"/>
        </w:rPr>
        <w:t>在楼梯、过道、洗手间等处设置扶手，在墙角等转弯处设置护垫等物件，安装呼叫器、地面防滑设置；</w:t>
      </w:r>
    </w:p>
    <w:p>
      <w:pPr>
        <w:pStyle w:val="132"/>
      </w:pPr>
      <w:r>
        <w:rPr>
          <w:rFonts w:hint="eastAsia"/>
        </w:rPr>
        <w:t>宜配置较宽的书架；</w:t>
      </w:r>
    </w:p>
    <w:p>
      <w:pPr>
        <w:pStyle w:val="132"/>
      </w:pPr>
      <w:r>
        <w:rPr>
          <w:rFonts w:hint="eastAsia"/>
        </w:rPr>
        <w:t>应放大馆内标识标语、展板、公告等的字体、图案；</w:t>
      </w:r>
    </w:p>
    <w:p>
      <w:pPr>
        <w:pStyle w:val="132"/>
      </w:pPr>
      <w:r>
        <w:rPr>
          <w:rFonts w:hint="eastAsia"/>
        </w:rPr>
        <w:t>应提供供暖、散热器、空调制热及制冷系统等。</w:t>
      </w:r>
    </w:p>
    <w:p>
      <w:pPr>
        <w:pStyle w:val="65"/>
        <w:spacing w:before="156" w:after="156"/>
        <w:ind w:left="0"/>
      </w:pPr>
      <w:r>
        <w:rPr>
          <w:rFonts w:hint="eastAsia"/>
        </w:rPr>
        <w:t>设施设备</w:t>
      </w:r>
    </w:p>
    <w:p>
      <w:pPr>
        <w:pStyle w:val="56"/>
        <w:ind w:firstLine="420"/>
      </w:pPr>
      <w:r>
        <w:rPr>
          <w:rFonts w:hint="eastAsia"/>
        </w:rPr>
        <w:t>包含但不限于以下内容：</w:t>
      </w:r>
    </w:p>
    <w:p>
      <w:pPr>
        <w:pStyle w:val="132"/>
      </w:pPr>
      <w:r>
        <w:rPr>
          <w:rFonts w:hint="eastAsia"/>
        </w:rPr>
        <w:t>应配备轮椅：宜有坐姿、卧姿转化功能，头靠、手靠、腿靠、脚踏系统可调节功能；</w:t>
      </w:r>
    </w:p>
    <w:p>
      <w:pPr>
        <w:pStyle w:val="132"/>
      </w:pPr>
      <w:r>
        <w:rPr>
          <w:rFonts w:hint="eastAsia"/>
        </w:rPr>
        <w:t>阅览室地面和阅览桌椅应具备防滑效果，书架的间距适合轮椅使用者；</w:t>
      </w:r>
    </w:p>
    <w:p>
      <w:pPr>
        <w:pStyle w:val="132"/>
      </w:pPr>
      <w:r>
        <w:rPr>
          <w:rFonts w:hint="eastAsia"/>
        </w:rPr>
        <w:t>阅览桌椅等设施与室内通道应允许坐轮椅的使用者通过；</w:t>
      </w:r>
    </w:p>
    <w:p>
      <w:pPr>
        <w:pStyle w:val="132"/>
      </w:pPr>
      <w:r>
        <w:rPr>
          <w:rFonts w:hint="eastAsia"/>
        </w:rPr>
        <w:t>应配备马桶助力扶手架，宜配备适老化坐便椅；</w:t>
      </w:r>
    </w:p>
    <w:p>
      <w:pPr>
        <w:pStyle w:val="132"/>
      </w:pPr>
      <w:r>
        <w:rPr>
          <w:rFonts w:hint="eastAsia"/>
        </w:rPr>
        <w:t>应配备应急设备、救助设备，并确保工作人员能够正确使用；</w:t>
      </w:r>
    </w:p>
    <w:p>
      <w:pPr>
        <w:pStyle w:val="132"/>
      </w:pPr>
      <w:r>
        <w:rPr>
          <w:rFonts w:hint="eastAsia"/>
        </w:rPr>
        <w:t>应配备沟通、阅览类辅具：助听器类（骨传导类、气传导类）、助视器类（老花镜、放大镜等光学类、电子类）等；</w:t>
      </w:r>
    </w:p>
    <w:p>
      <w:pPr>
        <w:pStyle w:val="132"/>
      </w:pPr>
      <w:r>
        <w:rPr>
          <w:rFonts w:hint="eastAsia"/>
        </w:rPr>
        <w:t>应配置字体加大的标识、导引及指引牌等；</w:t>
      </w:r>
    </w:p>
    <w:p>
      <w:pPr>
        <w:pStyle w:val="132"/>
      </w:pPr>
      <w:r>
        <w:rPr>
          <w:rFonts w:hint="eastAsia"/>
        </w:rPr>
        <w:t>应合理配置电子设施的数量，宜保留有同等功能的非电子化服务供老年读者使用，保证一些无法独立使用电子设备的老年读者可及时得到帮助。</w:t>
      </w:r>
    </w:p>
    <w:p>
      <w:pPr>
        <w:pStyle w:val="105"/>
        <w:spacing w:before="156" w:after="156"/>
      </w:pPr>
      <w:bookmarkStart w:id="108" w:name="_Toc126479197"/>
      <w:r>
        <w:rPr>
          <w:rFonts w:hint="eastAsia"/>
        </w:rPr>
        <w:t>制度建设</w:t>
      </w:r>
      <w:bookmarkEnd w:id="108"/>
    </w:p>
    <w:p>
      <w:pPr>
        <w:pStyle w:val="56"/>
        <w:ind w:firstLine="420"/>
      </w:pPr>
      <w:r>
        <w:rPr>
          <w:rFonts w:hint="eastAsia"/>
        </w:rPr>
        <w:t>针对老年读者常见、突发状况、疾病等，应建立相关的应急处理预案。</w:t>
      </w:r>
    </w:p>
    <w:p>
      <w:pPr>
        <w:pStyle w:val="104"/>
        <w:spacing w:before="312" w:after="312"/>
      </w:pPr>
      <w:bookmarkStart w:id="109" w:name="_Toc123890195"/>
      <w:bookmarkStart w:id="110" w:name="_Toc119589850"/>
      <w:bookmarkStart w:id="111" w:name="_Toc126479198"/>
      <w:r>
        <w:rPr>
          <w:rFonts w:hint="eastAsia"/>
        </w:rPr>
        <w:t>文献资源</w:t>
      </w:r>
      <w:bookmarkEnd w:id="109"/>
      <w:bookmarkEnd w:id="110"/>
      <w:bookmarkEnd w:id="111"/>
    </w:p>
    <w:p>
      <w:pPr>
        <w:pStyle w:val="162"/>
      </w:pPr>
      <w:r>
        <w:rPr>
          <w:rFonts w:hint="eastAsia"/>
        </w:rPr>
        <w:t>文献资源采集应符合GB/T 28220图书馆文献采集的要求，重点采集符合老年读者认知特点和信息获取方式的普通读物、大字读物、有声读物及无障碍影视作品等类型的资源。</w:t>
      </w:r>
    </w:p>
    <w:p>
      <w:pPr>
        <w:pStyle w:val="162"/>
        <w:rPr>
          <w:rFonts w:hAnsi="宋体" w:cs="宋体"/>
          <w:sz w:val="24"/>
        </w:rPr>
      </w:pPr>
      <w:r>
        <w:rPr>
          <w:rFonts w:hint="eastAsia"/>
        </w:rPr>
        <w:t>资源的年均新增藏量应与适老化阅览室面积、年度读者服务量等因素相匹配。</w:t>
      </w:r>
      <w:r>
        <w:rPr>
          <w:rFonts w:hint="eastAsia" w:hAnsi="宋体" w:cs="宋体"/>
          <w:sz w:val="24"/>
        </w:rPr>
        <w:t xml:space="preserve"> </w:t>
      </w:r>
    </w:p>
    <w:p>
      <w:pPr>
        <w:pStyle w:val="104"/>
        <w:spacing w:before="312" w:after="312"/>
      </w:pPr>
      <w:bookmarkStart w:id="112" w:name="_Toc123890196"/>
      <w:bookmarkStart w:id="113" w:name="_Toc119589854"/>
      <w:bookmarkStart w:id="114" w:name="_Toc126479199"/>
      <w:r>
        <w:rPr>
          <w:rFonts w:hint="eastAsia"/>
        </w:rPr>
        <w:t>人力资源</w:t>
      </w:r>
      <w:bookmarkEnd w:id="112"/>
      <w:bookmarkEnd w:id="113"/>
      <w:bookmarkEnd w:id="114"/>
    </w:p>
    <w:p>
      <w:pPr>
        <w:pStyle w:val="105"/>
        <w:spacing w:before="156" w:after="156"/>
      </w:pPr>
      <w:bookmarkStart w:id="115" w:name="_Toc126479200"/>
      <w:bookmarkStart w:id="116" w:name="_Toc119589855"/>
      <w:r>
        <w:rPr>
          <w:rFonts w:hint="eastAsia"/>
        </w:rPr>
        <w:t>人员要求</w:t>
      </w:r>
      <w:bookmarkEnd w:id="115"/>
      <w:bookmarkEnd w:id="116"/>
    </w:p>
    <w:p>
      <w:pPr>
        <w:pStyle w:val="231"/>
      </w:pPr>
      <w:r>
        <w:rPr>
          <w:rFonts w:hint="eastAsia"/>
        </w:rPr>
        <w:t>应具备良好的职业道德和职业素养，了解老年读者身心特征，具备为老年读者服务的技能，积极主动为老年读者服务。</w:t>
      </w:r>
    </w:p>
    <w:p>
      <w:pPr>
        <w:pStyle w:val="105"/>
        <w:spacing w:before="156" w:after="156"/>
      </w:pPr>
      <w:bookmarkStart w:id="117" w:name="_Toc119589856"/>
      <w:bookmarkStart w:id="118" w:name="_Toc126479201"/>
      <w:r>
        <w:rPr>
          <w:rFonts w:hint="eastAsia"/>
        </w:rPr>
        <w:t>人员配备</w:t>
      </w:r>
      <w:bookmarkEnd w:id="117"/>
      <w:bookmarkEnd w:id="118"/>
    </w:p>
    <w:p>
      <w:pPr>
        <w:pStyle w:val="231"/>
      </w:pPr>
      <w:r>
        <w:rPr>
          <w:rFonts w:hint="eastAsia"/>
        </w:rPr>
        <w:t>公共图书馆应根据服务时间、规模、资源数量、年度老年读者服务量等因素为依据，配备专兼职工作人员。</w:t>
      </w:r>
    </w:p>
    <w:p>
      <w:pPr>
        <w:pStyle w:val="105"/>
        <w:spacing w:before="156" w:after="156"/>
      </w:pPr>
      <w:bookmarkStart w:id="119" w:name="_Toc126479202"/>
      <w:bookmarkStart w:id="120" w:name="_Toc119589857"/>
      <w:r>
        <w:rPr>
          <w:rFonts w:hint="eastAsia"/>
        </w:rPr>
        <w:t>教育培训</w:t>
      </w:r>
      <w:bookmarkEnd w:id="119"/>
      <w:bookmarkEnd w:id="120"/>
    </w:p>
    <w:p>
      <w:pPr>
        <w:pStyle w:val="231"/>
      </w:pPr>
      <w:r>
        <w:rPr>
          <w:rFonts w:hint="eastAsia"/>
        </w:rPr>
        <w:t>公共图书馆应按照GB/T 28220的要求对本机构工作人员开展教育培训，包括但不限于：</w:t>
      </w:r>
    </w:p>
    <w:p>
      <w:pPr>
        <w:pStyle w:val="132"/>
      </w:pPr>
      <w:r>
        <w:rPr>
          <w:rFonts w:hint="eastAsia"/>
        </w:rPr>
        <w:t>熟悉老年读者身心特征和相应服务技能；</w:t>
      </w:r>
    </w:p>
    <w:p>
      <w:pPr>
        <w:pStyle w:val="132"/>
      </w:pPr>
      <w:r>
        <w:rPr>
          <w:rFonts w:hint="eastAsia"/>
        </w:rPr>
        <w:t>辅助老年读者阅览及辅助设备的使用；</w:t>
      </w:r>
    </w:p>
    <w:p>
      <w:pPr>
        <w:pStyle w:val="132"/>
      </w:pPr>
      <w:r>
        <w:rPr>
          <w:rFonts w:hint="eastAsia"/>
        </w:rPr>
        <w:t>如遇到老年读者身体状况发生特殊情况，可及时根据应急预案进行妥善处理；</w:t>
      </w:r>
    </w:p>
    <w:p>
      <w:pPr>
        <w:pStyle w:val="132"/>
      </w:pPr>
      <w:r>
        <w:rPr>
          <w:rFonts w:hint="eastAsia"/>
        </w:rPr>
        <w:t>工作人员每年参加教育培训不应少于60学时。</w:t>
      </w:r>
    </w:p>
    <w:p>
      <w:pPr>
        <w:pStyle w:val="105"/>
        <w:spacing w:before="156" w:after="156"/>
      </w:pPr>
      <w:bookmarkStart w:id="121" w:name="_Toc126479203"/>
      <w:bookmarkStart w:id="122" w:name="_Toc119589858"/>
      <w:r>
        <w:rPr>
          <w:rFonts w:hint="eastAsia"/>
        </w:rPr>
        <w:t>志愿者服务</w:t>
      </w:r>
      <w:bookmarkEnd w:id="121"/>
      <w:bookmarkEnd w:id="122"/>
    </w:p>
    <w:p>
      <w:pPr>
        <w:pStyle w:val="56"/>
        <w:ind w:firstLine="420"/>
        <w:rPr>
          <w:rFonts w:hAnsi="宋体" w:cs="宋体"/>
          <w:sz w:val="24"/>
        </w:rPr>
      </w:pPr>
      <w:r>
        <w:rPr>
          <w:rFonts w:hint="eastAsia"/>
        </w:rPr>
        <w:t>建立志愿者服务机制，通过专业培训、规范管理，为老年读者提供文化服务及活动参与提供帮助。</w:t>
      </w:r>
    </w:p>
    <w:p>
      <w:pPr>
        <w:pStyle w:val="104"/>
        <w:spacing w:before="312" w:after="312"/>
      </w:pPr>
      <w:bookmarkStart w:id="123" w:name="_Toc126479204"/>
      <w:bookmarkStart w:id="124" w:name="_Toc119589859"/>
      <w:r>
        <w:rPr>
          <w:rFonts w:hint="eastAsia"/>
        </w:rPr>
        <w:t>服务内容与形式</w:t>
      </w:r>
      <w:bookmarkEnd w:id="123"/>
      <w:bookmarkEnd w:id="124"/>
    </w:p>
    <w:p>
      <w:pPr>
        <w:pStyle w:val="105"/>
        <w:spacing w:before="156" w:after="156"/>
      </w:pPr>
      <w:bookmarkStart w:id="125" w:name="_Toc126479205"/>
      <w:bookmarkStart w:id="126" w:name="_Toc123890198"/>
      <w:bookmarkStart w:id="127" w:name="_Toc119589860"/>
      <w:r>
        <w:rPr>
          <w:rFonts w:hint="eastAsia"/>
        </w:rPr>
        <w:t>服务原则</w:t>
      </w:r>
      <w:bookmarkEnd w:id="125"/>
      <w:bookmarkEnd w:id="126"/>
    </w:p>
    <w:p>
      <w:pPr>
        <w:pStyle w:val="56"/>
        <w:ind w:firstLine="420"/>
      </w:pPr>
      <w:r>
        <w:rPr>
          <w:rFonts w:hint="eastAsia"/>
        </w:rPr>
        <w:t>适老服务应符合以下原则：</w:t>
      </w:r>
    </w:p>
    <w:p>
      <w:pPr>
        <w:pStyle w:val="56"/>
        <w:ind w:firstLine="420"/>
      </w:pPr>
      <w:r>
        <w:rPr>
          <w:rFonts w:hint="eastAsia"/>
        </w:rPr>
        <w:t>——与老年读者的认知特点和信息获取方式相适应；</w:t>
      </w:r>
    </w:p>
    <w:p>
      <w:pPr>
        <w:pStyle w:val="56"/>
        <w:ind w:firstLine="420"/>
      </w:pPr>
      <w:r>
        <w:rPr>
          <w:rFonts w:hint="eastAsia"/>
        </w:rPr>
        <w:t>——与老年读者的多样化、个性化需求相适应；</w:t>
      </w:r>
    </w:p>
    <w:p>
      <w:pPr>
        <w:pStyle w:val="56"/>
        <w:ind w:firstLine="420"/>
      </w:pPr>
      <w:r>
        <w:rPr>
          <w:rFonts w:hint="eastAsia"/>
        </w:rPr>
        <w:t>——与本地区经济、文化和社会事业发展相适应；</w:t>
      </w:r>
    </w:p>
    <w:p>
      <w:pPr>
        <w:pStyle w:val="56"/>
        <w:ind w:firstLine="420"/>
      </w:pPr>
      <w:r>
        <w:rPr>
          <w:rFonts w:hint="eastAsia"/>
        </w:rPr>
        <w:t>——与本馆服务老年读者的数量相匹配。</w:t>
      </w:r>
    </w:p>
    <w:p>
      <w:pPr>
        <w:pStyle w:val="105"/>
        <w:spacing w:before="156" w:after="156"/>
      </w:pPr>
      <w:bookmarkStart w:id="128" w:name="_Toc126479206"/>
      <w:bookmarkStart w:id="129" w:name="_Toc123890199"/>
      <w:r>
        <w:rPr>
          <w:rFonts w:hint="eastAsia"/>
        </w:rPr>
        <w:t>服务内容</w:t>
      </w:r>
      <w:bookmarkEnd w:id="127"/>
      <w:bookmarkEnd w:id="128"/>
      <w:bookmarkEnd w:id="129"/>
    </w:p>
    <w:p>
      <w:pPr>
        <w:pStyle w:val="56"/>
        <w:ind w:firstLine="420"/>
      </w:pPr>
      <w:r>
        <w:rPr>
          <w:rFonts w:hint="eastAsia"/>
        </w:rPr>
        <w:t>公共图书馆应提供的适老服务包括但不限于：</w:t>
      </w:r>
    </w:p>
    <w:p>
      <w:pPr>
        <w:pStyle w:val="132"/>
      </w:pPr>
      <w:r>
        <w:rPr>
          <w:rFonts w:hint="eastAsia"/>
        </w:rPr>
        <w:t>通过借阅服务、参考咨询、阅读培训，培养老年读者信息素养，提高利用图书馆的能力；</w:t>
      </w:r>
    </w:p>
    <w:p>
      <w:pPr>
        <w:pStyle w:val="132"/>
      </w:pPr>
      <w:r>
        <w:rPr>
          <w:rFonts w:hint="eastAsia"/>
        </w:rPr>
        <w:t>通过文献检索教育，引导老年读者独自获取所需资源；</w:t>
      </w:r>
    </w:p>
    <w:p>
      <w:pPr>
        <w:pStyle w:val="132"/>
      </w:pPr>
      <w:r>
        <w:rPr>
          <w:rFonts w:hint="eastAsia"/>
        </w:rPr>
        <w:t>通过编制推荐书目、导读书目对老年读者进行阅读辅导；</w:t>
      </w:r>
    </w:p>
    <w:p>
      <w:pPr>
        <w:pStyle w:val="132"/>
      </w:pPr>
      <w:r>
        <w:rPr>
          <w:rFonts w:hint="eastAsia"/>
        </w:rPr>
        <w:t>增强机构间协作，开展大字读物、有声读物等的馆际互借，提高资源利用率；</w:t>
      </w:r>
    </w:p>
    <w:p>
      <w:pPr>
        <w:pStyle w:val="132"/>
      </w:pPr>
      <w:r>
        <w:rPr>
          <w:rFonts w:hint="eastAsia"/>
        </w:rPr>
        <w:t>建立老年读者服务档案，记录老年读者的基本情况、阅读倾向和需求信息；</w:t>
      </w:r>
    </w:p>
    <w:p>
      <w:pPr>
        <w:pStyle w:val="132"/>
      </w:pPr>
      <w:r>
        <w:rPr>
          <w:rFonts w:hint="eastAsia"/>
        </w:rPr>
        <w:t>有针对性地丰富服务形式，举办符合老年身心特征的阅读推广活动，优化服务质量。</w:t>
      </w:r>
    </w:p>
    <w:p>
      <w:pPr>
        <w:pStyle w:val="105"/>
        <w:spacing w:before="156" w:after="156"/>
      </w:pPr>
      <w:bookmarkStart w:id="130" w:name="_Toc123890200"/>
      <w:bookmarkStart w:id="131" w:name="_Toc126479207"/>
      <w:bookmarkStart w:id="132" w:name="_Toc119589861"/>
      <w:r>
        <w:rPr>
          <w:rFonts w:hint="eastAsia"/>
        </w:rPr>
        <w:t>服务形式</w:t>
      </w:r>
      <w:bookmarkEnd w:id="130"/>
      <w:bookmarkEnd w:id="131"/>
      <w:bookmarkEnd w:id="132"/>
    </w:p>
    <w:p>
      <w:pPr>
        <w:pStyle w:val="65"/>
        <w:spacing w:before="156" w:after="156"/>
        <w:ind w:left="0"/>
      </w:pPr>
      <w:bookmarkStart w:id="133" w:name="_Toc119589862"/>
      <w:r>
        <w:rPr>
          <w:rFonts w:hint="eastAsia"/>
        </w:rPr>
        <w:t>基本服务</w:t>
      </w:r>
      <w:bookmarkEnd w:id="133"/>
    </w:p>
    <w:p>
      <w:pPr>
        <w:pStyle w:val="56"/>
        <w:ind w:firstLine="420"/>
      </w:pPr>
      <w:r>
        <w:rPr>
          <w:rFonts w:hint="eastAsia"/>
        </w:rPr>
        <w:t>公共图书馆提供的基本服务包括但不限于：</w:t>
      </w:r>
    </w:p>
    <w:p>
      <w:pPr>
        <w:pStyle w:val="132"/>
      </w:pPr>
      <w:r>
        <w:rPr>
          <w:rFonts w:hint="eastAsia"/>
        </w:rPr>
        <w:t>提供有声、大字、电子等形式的收藏文献书目与索引服务；</w:t>
      </w:r>
    </w:p>
    <w:p>
      <w:pPr>
        <w:pStyle w:val="132"/>
      </w:pPr>
      <w:r>
        <w:rPr>
          <w:rFonts w:hint="eastAsia"/>
        </w:rPr>
        <w:t>提供老年读者所需知识领域的参考咨询服务；</w:t>
      </w:r>
    </w:p>
    <w:p>
      <w:pPr>
        <w:pStyle w:val="132"/>
      </w:pPr>
      <w:r>
        <w:rPr>
          <w:rFonts w:hint="eastAsia"/>
        </w:rPr>
        <w:t>提供收藏文献资源的查询、在馆阅读、外借等服务；</w:t>
      </w:r>
    </w:p>
    <w:p>
      <w:pPr>
        <w:pStyle w:val="132"/>
      </w:pPr>
      <w:r>
        <w:rPr>
          <w:rFonts w:hint="eastAsia"/>
        </w:rPr>
        <w:t>提供阅览设备的使用培训和借阅服务；</w:t>
      </w:r>
    </w:p>
    <w:p>
      <w:pPr>
        <w:pStyle w:val="132"/>
      </w:pPr>
      <w:r>
        <w:rPr>
          <w:rFonts w:hint="eastAsia"/>
        </w:rPr>
        <w:t>符合YD/T 1761—2012要求进行网站无障碍改造，提供文化信息资源共享服务；</w:t>
      </w:r>
    </w:p>
    <w:p>
      <w:pPr>
        <w:pStyle w:val="132"/>
      </w:pPr>
      <w:r>
        <w:rPr>
          <w:rFonts w:hint="eastAsia"/>
        </w:rPr>
        <w:t>提供常态化阅读服务，通过举办读书会、文化娱乐、专题讲座等阅读推广活动，扩大老年读者服务影响，打造老年读者服务品牌。</w:t>
      </w:r>
    </w:p>
    <w:p>
      <w:pPr>
        <w:pStyle w:val="65"/>
        <w:spacing w:before="156" w:after="156"/>
        <w:ind w:left="0"/>
      </w:pPr>
      <w:r>
        <w:rPr>
          <w:rFonts w:hint="eastAsia"/>
        </w:rPr>
        <w:t>拓展服务</w:t>
      </w:r>
    </w:p>
    <w:p>
      <w:pPr>
        <w:pStyle w:val="232"/>
        <w:tabs>
          <w:tab w:val="left" w:pos="420"/>
          <w:tab w:val="clear" w:pos="360"/>
        </w:tabs>
        <w:ind w:left="834" w:hanging="408"/>
      </w:pPr>
      <w:r>
        <w:rPr>
          <w:rFonts w:hint="eastAsia"/>
        </w:rPr>
        <w:t>公共图书馆可根据实际情况提供包括但不限于以下拓展服务：</w:t>
      </w:r>
    </w:p>
    <w:p>
      <w:pPr>
        <w:pStyle w:val="132"/>
      </w:pPr>
      <w:r>
        <w:rPr>
          <w:rFonts w:hint="eastAsia"/>
        </w:rPr>
        <w:t>为无法到馆的老年读者提供邮寄、送书上门等外借服务；</w:t>
      </w:r>
    </w:p>
    <w:p>
      <w:pPr>
        <w:pStyle w:val="132"/>
      </w:pPr>
      <w:r>
        <w:rPr>
          <w:rFonts w:hint="eastAsia"/>
        </w:rPr>
        <w:t>可采用互联网、手机等信息技术手段和载体开展网上书目检索、参考咨询等远程网络信息推送服务；</w:t>
      </w:r>
    </w:p>
    <w:p>
      <w:pPr>
        <w:pStyle w:val="132"/>
      </w:pPr>
      <w:r>
        <w:rPr>
          <w:rFonts w:hint="eastAsia"/>
        </w:rPr>
        <w:t>提供健康、才艺等方面的教育培训；</w:t>
      </w:r>
    </w:p>
    <w:p>
      <w:pPr>
        <w:pStyle w:val="132"/>
      </w:pPr>
      <w:r>
        <w:rPr>
          <w:rFonts w:hint="eastAsia"/>
        </w:rPr>
        <w:t>招募、组织志愿者为老年读者提供搀扶、朗读等服务；</w:t>
      </w:r>
    </w:p>
    <w:p>
      <w:pPr>
        <w:pStyle w:val="132"/>
      </w:pPr>
      <w:r>
        <w:rPr>
          <w:rFonts w:hint="eastAsia"/>
        </w:rPr>
        <w:t>提供无障碍影视作品制作、放映服务；</w:t>
      </w:r>
    </w:p>
    <w:p>
      <w:pPr>
        <w:pStyle w:val="132"/>
      </w:pPr>
      <w:r>
        <w:rPr>
          <w:rFonts w:hint="eastAsia"/>
        </w:rPr>
        <w:t>提供康复设备（如手杖、轮椅等）的租用或借用服务；</w:t>
      </w:r>
    </w:p>
    <w:p>
      <w:pPr>
        <w:pStyle w:val="132"/>
      </w:pPr>
      <w:r>
        <w:rPr>
          <w:rFonts w:hint="eastAsia"/>
        </w:rPr>
        <w:t>某些无人化自助模式（如自助打印、复印设备，自助饮料售卖，公共充电宝、雨伞的设置等），需移动支付、扫描使用等，应配置服务人员及时指导有需要的老年读者使用。</w:t>
      </w:r>
    </w:p>
    <w:p>
      <w:pPr>
        <w:pStyle w:val="65"/>
        <w:spacing w:before="156" w:after="156"/>
        <w:ind w:left="0"/>
      </w:pPr>
      <w:r>
        <w:rPr>
          <w:rFonts w:hint="eastAsia"/>
        </w:rPr>
        <w:t>个性化服务</w:t>
      </w:r>
    </w:p>
    <w:p>
      <w:pPr>
        <w:pStyle w:val="56"/>
        <w:ind w:firstLine="420"/>
      </w:pPr>
      <w:r>
        <w:rPr>
          <w:rFonts w:hint="eastAsia"/>
        </w:rPr>
        <w:t>个性化服务包括但不限于以下内容：</w:t>
      </w:r>
    </w:p>
    <w:p>
      <w:pPr>
        <w:pStyle w:val="132"/>
      </w:pPr>
      <w:r>
        <w:rPr>
          <w:rFonts w:hint="eastAsia"/>
        </w:rPr>
        <w:t>宜依靠大数据等的分析，依年龄划分得出老年读者群体的借阅习惯，依据借阅习惯采购相应图书、报刊、文献，增加老年读者偏好的阅读内容，保证老年读者的使用比例；</w:t>
      </w:r>
    </w:p>
    <w:p>
      <w:pPr>
        <w:pStyle w:val="132"/>
      </w:pPr>
      <w:r>
        <w:rPr>
          <w:rFonts w:hint="eastAsia"/>
        </w:rPr>
        <w:t>在图书借还的形式上，应引导老年读者使用相关借还设备，在老年读者无法独立完成自助借还时，应有工作人员或志愿者等进行协助；</w:t>
      </w:r>
    </w:p>
    <w:p>
      <w:pPr>
        <w:pStyle w:val="132"/>
      </w:pPr>
      <w:r>
        <w:rPr>
          <w:rFonts w:hint="eastAsia"/>
        </w:rPr>
        <w:t>应积极开展为老年读者专门设计的读者活动，保证线下活动的比例，保留活动报名、活动预约的非网络化报名方式和渠道；</w:t>
      </w:r>
    </w:p>
    <w:p>
      <w:pPr>
        <w:pStyle w:val="132"/>
      </w:pPr>
      <w:r>
        <w:rPr>
          <w:rFonts w:hint="eastAsia"/>
        </w:rPr>
        <w:t>对于听力功能衰弱，或讲话声音较大的部分老年读者，可设置非强制安静区域，与其他读者的使用区域分隔开，或做好隔音措施；</w:t>
      </w:r>
    </w:p>
    <w:p>
      <w:pPr>
        <w:pStyle w:val="132"/>
      </w:pPr>
      <w:r>
        <w:rPr>
          <w:rFonts w:hint="eastAsia"/>
        </w:rPr>
        <w:t>在不断服务升级的同时，每出现一项新的服务后，不宜立刻取消相关的旧有服务，可降低旧有服务的比例后仍保留旧有服务项目。</w:t>
      </w:r>
    </w:p>
    <w:p>
      <w:pPr>
        <w:pStyle w:val="65"/>
        <w:spacing w:before="156" w:after="156"/>
        <w:ind w:left="0"/>
      </w:pPr>
      <w:r>
        <w:rPr>
          <w:rFonts w:hint="eastAsia"/>
        </w:rPr>
        <w:t>延伸服务</w:t>
      </w:r>
    </w:p>
    <w:p>
      <w:pPr>
        <w:pStyle w:val="164"/>
      </w:pPr>
      <w:r>
        <w:rPr>
          <w:rFonts w:hint="eastAsia"/>
        </w:rPr>
        <w:t>以流动站、流动车等形式，将文献外借服务和其他服务向基层延伸，定期开展巡回流动服务。</w:t>
      </w:r>
    </w:p>
    <w:p>
      <w:pPr>
        <w:pStyle w:val="164"/>
      </w:pPr>
      <w:r>
        <w:rPr>
          <w:rFonts w:hint="eastAsia"/>
        </w:rPr>
        <w:t>宜联合其他相关机构，选择合适的服务，下沉到老年读者居住区附近，使老年读者在居住区即可享受到所需的读者服务。</w:t>
      </w:r>
    </w:p>
    <w:p>
      <w:pPr>
        <w:pStyle w:val="104"/>
        <w:spacing w:before="312" w:after="312"/>
      </w:pPr>
      <w:bookmarkStart w:id="134" w:name="_Toc119589864"/>
      <w:bookmarkStart w:id="135" w:name="_Toc126479208"/>
      <w:r>
        <w:rPr>
          <w:rFonts w:hint="eastAsia"/>
        </w:rPr>
        <w:t>服务要求</w:t>
      </w:r>
      <w:bookmarkEnd w:id="134"/>
      <w:bookmarkEnd w:id="135"/>
    </w:p>
    <w:p>
      <w:pPr>
        <w:pStyle w:val="105"/>
        <w:spacing w:before="156" w:after="156"/>
      </w:pPr>
      <w:bookmarkStart w:id="136" w:name="_Toc126479209"/>
      <w:bookmarkStart w:id="137" w:name="_Toc119589865"/>
      <w:bookmarkStart w:id="138" w:name="_Toc123890202"/>
      <w:r>
        <w:rPr>
          <w:rFonts w:hint="eastAsia"/>
        </w:rPr>
        <w:t>服务时间</w:t>
      </w:r>
      <w:bookmarkEnd w:id="136"/>
      <w:bookmarkEnd w:id="137"/>
      <w:bookmarkEnd w:id="138"/>
    </w:p>
    <w:p>
      <w:pPr>
        <w:pStyle w:val="165"/>
        <w:ind w:left="0"/>
      </w:pPr>
      <w:r>
        <w:rPr>
          <w:rFonts w:hint="eastAsia"/>
        </w:rPr>
        <w:t>公共图书馆的适老化阅览室应有固定的开放时间，双休日应对外开放。</w:t>
      </w:r>
    </w:p>
    <w:p>
      <w:pPr>
        <w:pStyle w:val="165"/>
        <w:ind w:left="0"/>
      </w:pPr>
      <w:r>
        <w:rPr>
          <w:rFonts w:hint="eastAsia"/>
        </w:rPr>
        <w:t>适老化阅览室每周开放时间不应少于48小时。</w:t>
      </w:r>
    </w:p>
    <w:p>
      <w:pPr>
        <w:pStyle w:val="105"/>
        <w:spacing w:before="156" w:after="156"/>
      </w:pPr>
      <w:bookmarkStart w:id="139" w:name="_Toc123890203"/>
      <w:bookmarkStart w:id="140" w:name="_Toc119589866"/>
      <w:bookmarkStart w:id="141" w:name="_Toc126479210"/>
      <w:r>
        <w:rPr>
          <w:rFonts w:hint="eastAsia"/>
        </w:rPr>
        <w:t>服务告示</w:t>
      </w:r>
      <w:bookmarkEnd w:id="139"/>
      <w:bookmarkEnd w:id="140"/>
      <w:bookmarkEnd w:id="141"/>
    </w:p>
    <w:p>
      <w:pPr>
        <w:pStyle w:val="65"/>
        <w:spacing w:before="156" w:after="156"/>
        <w:ind w:left="0"/>
      </w:pPr>
      <w:bookmarkStart w:id="142" w:name="_Toc119589867"/>
      <w:r>
        <w:rPr>
          <w:rFonts w:hint="eastAsia"/>
        </w:rPr>
        <w:t>告示内容和方式</w:t>
      </w:r>
      <w:bookmarkEnd w:id="142"/>
    </w:p>
    <w:p>
      <w:pPr>
        <w:pStyle w:val="231"/>
      </w:pPr>
      <w:r>
        <w:rPr>
          <w:rFonts w:hint="eastAsia"/>
        </w:rPr>
        <w:t>公共图书馆关于老年读者方面的服务范围、服务内容、服务形式、服务时间、服务须知、借阅规则、使用说明及资源目录等基本服务信息应以大字的形式在馆内公告，以有声和电子等信息发布渠道向老年读者公告（如图书馆网站、公众号、微博、电话、短信、QQ群、微信群等）。</w:t>
      </w:r>
    </w:p>
    <w:p>
      <w:pPr>
        <w:pStyle w:val="65"/>
        <w:spacing w:before="156" w:after="156"/>
        <w:ind w:left="0"/>
      </w:pPr>
      <w:bookmarkStart w:id="143" w:name="_Toc119589868"/>
      <w:r>
        <w:rPr>
          <w:rFonts w:hint="eastAsia"/>
        </w:rPr>
        <w:t>开放时间变更公告</w:t>
      </w:r>
      <w:bookmarkEnd w:id="143"/>
    </w:p>
    <w:p>
      <w:pPr>
        <w:pStyle w:val="231"/>
      </w:pPr>
      <w:r>
        <w:rPr>
          <w:rFonts w:hint="eastAsia"/>
        </w:rPr>
        <w:t>节假日变更开放时间或因故需暂时闭馆，应提前一周以有声和电子等信息发布渠道向老年读者公告（如发生突发事件应临时闭馆或关闭老年读者服务区域时，应及时发布公告）。</w:t>
      </w:r>
    </w:p>
    <w:p>
      <w:pPr>
        <w:pStyle w:val="105"/>
        <w:spacing w:before="156" w:after="156"/>
      </w:pPr>
      <w:bookmarkStart w:id="144" w:name="_Toc119589869"/>
      <w:bookmarkStart w:id="145" w:name="_Toc123890204"/>
      <w:bookmarkStart w:id="146" w:name="_Toc126479211"/>
      <w:r>
        <w:rPr>
          <w:rFonts w:hint="eastAsia"/>
        </w:rPr>
        <w:t>资源推介</w:t>
      </w:r>
      <w:bookmarkEnd w:id="144"/>
      <w:bookmarkEnd w:id="145"/>
      <w:bookmarkEnd w:id="146"/>
    </w:p>
    <w:p>
      <w:pPr>
        <w:pStyle w:val="231"/>
      </w:pPr>
      <w:r>
        <w:rPr>
          <w:rFonts w:hint="eastAsia"/>
        </w:rPr>
        <w:t>公共图书馆应通过网站、手机应用、宣传资料等形式，向老年读者推介最新入藏的文献资源等信息。</w:t>
      </w:r>
    </w:p>
    <w:p>
      <w:pPr>
        <w:pStyle w:val="105"/>
        <w:spacing w:before="156" w:after="156"/>
      </w:pPr>
      <w:bookmarkStart w:id="147" w:name="_Toc126479212"/>
      <w:bookmarkStart w:id="148" w:name="_Toc123890205"/>
      <w:bookmarkStart w:id="149" w:name="_Toc119589870"/>
      <w:r>
        <w:rPr>
          <w:rFonts w:hint="eastAsia"/>
        </w:rPr>
        <w:t>服务指标</w:t>
      </w:r>
      <w:bookmarkEnd w:id="147"/>
      <w:bookmarkEnd w:id="148"/>
      <w:bookmarkEnd w:id="149"/>
    </w:p>
    <w:p>
      <w:pPr>
        <w:pStyle w:val="56"/>
        <w:ind w:firstLine="420"/>
      </w:pPr>
      <w:r>
        <w:rPr>
          <w:rFonts w:hint="eastAsia"/>
        </w:rPr>
        <w:t>公共图书馆应每年统计老年读者接受服务的总人次、经常来馆的活跃读者数量、全年服务人次、设备借阅人次、文献资源使用人次、文献资源借阅册次、参与文化活动及社会培训人次等指标。</w:t>
      </w:r>
    </w:p>
    <w:p>
      <w:pPr>
        <w:pStyle w:val="105"/>
        <w:spacing w:before="156" w:after="156"/>
      </w:pPr>
      <w:bookmarkStart w:id="150" w:name="_Toc126479213"/>
      <w:r>
        <w:rPr>
          <w:rFonts w:hint="eastAsia"/>
        </w:rPr>
        <w:t>经费保障</w:t>
      </w:r>
      <w:bookmarkEnd w:id="150"/>
    </w:p>
    <w:p>
      <w:pPr>
        <w:pStyle w:val="165"/>
        <w:ind w:left="0"/>
      </w:pPr>
      <w:r>
        <w:rPr>
          <w:rFonts w:hint="eastAsia"/>
        </w:rPr>
        <w:t>公共图书馆应明确服务对象中老年读者的占比，以及每年老年读者占比的增速。</w:t>
      </w:r>
    </w:p>
    <w:p>
      <w:pPr>
        <w:pStyle w:val="165"/>
        <w:ind w:left="0"/>
      </w:pPr>
      <w:r>
        <w:rPr>
          <w:rFonts w:hint="eastAsia"/>
        </w:rPr>
        <w:t>应依据相关数据合理分配用于老年读者的经费比例，保证老年读者所得到的服务质量。</w:t>
      </w:r>
    </w:p>
    <w:p>
      <w:pPr>
        <w:pStyle w:val="104"/>
        <w:spacing w:before="312" w:after="312"/>
      </w:pPr>
      <w:bookmarkStart w:id="151" w:name="_Toc119589871"/>
      <w:bookmarkStart w:id="152" w:name="_Toc126479214"/>
      <w:r>
        <w:rPr>
          <w:rFonts w:hint="eastAsia"/>
        </w:rPr>
        <w:t>服务宣传</w:t>
      </w:r>
      <w:bookmarkEnd w:id="151"/>
      <w:bookmarkEnd w:id="152"/>
    </w:p>
    <w:p>
      <w:pPr>
        <w:pStyle w:val="105"/>
        <w:spacing w:before="156" w:after="156"/>
      </w:pPr>
      <w:bookmarkStart w:id="153" w:name="_Toc119589872"/>
      <w:bookmarkStart w:id="154" w:name="_Toc123890207"/>
      <w:bookmarkStart w:id="155" w:name="_Toc126479215"/>
      <w:r>
        <w:rPr>
          <w:rFonts w:hint="eastAsia"/>
        </w:rPr>
        <w:t>读者宣传</w:t>
      </w:r>
      <w:bookmarkEnd w:id="153"/>
      <w:bookmarkEnd w:id="154"/>
      <w:bookmarkEnd w:id="155"/>
    </w:p>
    <w:p>
      <w:pPr>
        <w:pStyle w:val="231"/>
      </w:pPr>
      <w:r>
        <w:rPr>
          <w:rFonts w:hint="eastAsia"/>
        </w:rPr>
        <w:t>公共图书馆应通过信息发布渠道（如媒体、网站、手机、宣传资料及宣传栏等方式）开展老年读者文化服务、活动宣传。</w:t>
      </w:r>
    </w:p>
    <w:p>
      <w:pPr>
        <w:pStyle w:val="105"/>
        <w:spacing w:before="156" w:after="156"/>
      </w:pPr>
      <w:bookmarkStart w:id="156" w:name="_Toc119589873"/>
      <w:bookmarkStart w:id="157" w:name="_Toc123890208"/>
      <w:bookmarkStart w:id="158" w:name="_Toc126479216"/>
      <w:r>
        <w:rPr>
          <w:rFonts w:hint="eastAsia"/>
        </w:rPr>
        <w:t>活动宣传</w:t>
      </w:r>
      <w:bookmarkEnd w:id="156"/>
      <w:bookmarkEnd w:id="157"/>
      <w:bookmarkEnd w:id="158"/>
    </w:p>
    <w:p>
      <w:pPr>
        <w:pStyle w:val="165"/>
        <w:ind w:left="0"/>
      </w:pPr>
      <w:r>
        <w:rPr>
          <w:rFonts w:hint="eastAsia"/>
        </w:rPr>
        <w:t>公共图书馆应结合阅读推广和教育培训，宣传老年读者服务，吸引老年读者参与和互动。</w:t>
      </w:r>
    </w:p>
    <w:p>
      <w:pPr>
        <w:pStyle w:val="165"/>
        <w:ind w:left="0"/>
      </w:pPr>
      <w:r>
        <w:rPr>
          <w:rFonts w:hint="eastAsia"/>
        </w:rPr>
        <w:t>公共图书馆宜与老年阅读会、老年教育机构等老年服务机构联合开展老年读者服务宣传活动。</w:t>
      </w:r>
    </w:p>
    <w:p>
      <w:pPr>
        <w:pStyle w:val="104"/>
        <w:spacing w:before="312" w:after="312"/>
      </w:pPr>
      <w:bookmarkStart w:id="159" w:name="_Toc123890211"/>
      <w:bookmarkStart w:id="160" w:name="_Toc126479217"/>
      <w:bookmarkStart w:id="161" w:name="_Toc119589876"/>
      <w:bookmarkStart w:id="162" w:name="_Toc119589874"/>
      <w:r>
        <w:rPr>
          <w:rFonts w:hint="eastAsia"/>
        </w:rPr>
        <w:t>读者满意度调查</w:t>
      </w:r>
      <w:bookmarkEnd w:id="159"/>
      <w:bookmarkEnd w:id="160"/>
      <w:bookmarkEnd w:id="161"/>
    </w:p>
    <w:p>
      <w:pPr>
        <w:pStyle w:val="162"/>
      </w:pPr>
      <w:r>
        <w:rPr>
          <w:rFonts w:hint="eastAsia"/>
        </w:rPr>
        <w:t>公共图书馆应每年进行至少1次读者满意度调查。</w:t>
      </w:r>
    </w:p>
    <w:p>
      <w:pPr>
        <w:pStyle w:val="162"/>
      </w:pPr>
      <w:r>
        <w:rPr>
          <w:rFonts w:hint="eastAsia"/>
        </w:rPr>
        <w:t>公共图书馆的读者满意度应在85%（含）以上。</w:t>
      </w:r>
    </w:p>
    <w:p>
      <w:pPr>
        <w:pStyle w:val="162"/>
      </w:pPr>
      <w:r>
        <w:rPr>
          <w:rFonts w:hint="eastAsia"/>
        </w:rPr>
        <w:t>公共图书馆应对回收的读者满意度调查问卷进行分析，针对薄弱环节提出整改意见；调查数据应系统整理，建档保存。</w:t>
      </w:r>
    </w:p>
    <w:p>
      <w:pPr>
        <w:pStyle w:val="104"/>
        <w:spacing w:before="312" w:after="312"/>
      </w:pPr>
      <w:bookmarkStart w:id="163" w:name="_Toc126479218"/>
      <w:r>
        <w:rPr>
          <w:rFonts w:hint="eastAsia"/>
        </w:rPr>
        <w:t>服务监督、评价</w:t>
      </w:r>
      <w:bookmarkEnd w:id="162"/>
      <w:r>
        <w:rPr>
          <w:rFonts w:hint="eastAsia"/>
        </w:rPr>
        <w:t>与改进</w:t>
      </w:r>
      <w:bookmarkEnd w:id="163"/>
    </w:p>
    <w:p>
      <w:pPr>
        <w:pStyle w:val="105"/>
        <w:spacing w:before="156" w:after="156"/>
      </w:pPr>
      <w:bookmarkStart w:id="164" w:name="_Toc119589875"/>
      <w:bookmarkStart w:id="165" w:name="_Toc123890210"/>
      <w:bookmarkStart w:id="166" w:name="_Toc126479219"/>
      <w:r>
        <w:rPr>
          <w:rFonts w:hint="eastAsia"/>
        </w:rPr>
        <w:t>监督途径与</w:t>
      </w:r>
      <w:bookmarkEnd w:id="164"/>
      <w:bookmarkEnd w:id="165"/>
      <w:r>
        <w:rPr>
          <w:rFonts w:hint="eastAsia"/>
        </w:rPr>
        <w:t>评价</w:t>
      </w:r>
      <w:bookmarkEnd w:id="166"/>
    </w:p>
    <w:p>
      <w:pPr>
        <w:pStyle w:val="165"/>
        <w:ind w:left="0"/>
      </w:pPr>
      <w:r>
        <w:rPr>
          <w:rFonts w:hint="eastAsia"/>
        </w:rPr>
        <w:t>公共图书馆应公开监督电话，开设网上投诉通道，随时征求读者意见或建议，定期通过电话征求读者意见或建议，应每年召开至少1次读者座谈会。</w:t>
      </w:r>
    </w:p>
    <w:p>
      <w:pPr>
        <w:pStyle w:val="165"/>
        <w:ind w:left="0"/>
      </w:pPr>
      <w:r>
        <w:rPr>
          <w:rFonts w:hint="eastAsia"/>
        </w:rPr>
        <w:t>正确对待并及时处理来自老年读者的意见或投诉，应在5个工作日内回复处理结果和整改方案。</w:t>
      </w:r>
    </w:p>
    <w:p>
      <w:pPr>
        <w:pStyle w:val="105"/>
        <w:spacing w:before="156" w:after="156"/>
      </w:pPr>
      <w:bookmarkStart w:id="167" w:name="_Toc126479220"/>
      <w:r>
        <w:rPr>
          <w:rFonts w:hint="eastAsia"/>
        </w:rPr>
        <w:t>持续改进</w:t>
      </w:r>
      <w:bookmarkEnd w:id="167"/>
    </w:p>
    <w:p>
      <w:pPr>
        <w:pStyle w:val="165"/>
        <w:ind w:left="0"/>
      </w:pPr>
      <w:r>
        <w:rPr>
          <w:rFonts w:hint="eastAsia"/>
        </w:rPr>
        <w:t>畅通接受诉求和改进的渠道，及时发现问题。</w:t>
      </w:r>
    </w:p>
    <w:p>
      <w:pPr>
        <w:pStyle w:val="165"/>
        <w:ind w:left="0"/>
      </w:pPr>
      <w:r>
        <w:rPr>
          <w:rFonts w:hint="eastAsia"/>
        </w:rPr>
        <w:t>对评价的方式、指标等进行改进，确保其合理性和实用性。</w:t>
      </w:r>
    </w:p>
    <w:p>
      <w:pPr>
        <w:pStyle w:val="165"/>
        <w:ind w:left="0"/>
      </w:pPr>
      <w:r>
        <w:rPr>
          <w:rFonts w:hint="eastAsia"/>
        </w:rPr>
        <w:t>对服务评价及改进工作全面总结，制定持续改进计划。</w:t>
      </w:r>
    </w:p>
    <w:p>
      <w:pPr>
        <w:pStyle w:val="165"/>
        <w:ind w:left="0"/>
      </w:pPr>
      <w:r>
        <w:rPr>
          <w:rFonts w:hint="eastAsia"/>
        </w:rPr>
        <w:t>应会同服务机构、服务对象建立有效的沟通协调机制，及时发现和解决适老服务过程中出现的问题。</w:t>
      </w:r>
    </w:p>
    <w:bookmarkEnd w:id="22"/>
    <w:p>
      <w:pPr>
        <w:pStyle w:val="56"/>
        <w:ind w:firstLine="0" w:firstLineChars="0"/>
        <w:jc w:val="center"/>
      </w:pPr>
      <w:bookmarkStart w:id="16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stretch>
                      <a:fillRect/>
                    </a:stretch>
                  </pic:blipFill>
                  <pic:spPr>
                    <a:xfrm>
                      <a:off x="0" y="0"/>
                      <a:ext cx="1485900" cy="317500"/>
                    </a:xfrm>
                    <a:prstGeom prst="rect">
                      <a:avLst/>
                    </a:prstGeom>
                  </pic:spPr>
                </pic:pic>
              </a:graphicData>
            </a:graphic>
          </wp:inline>
        </w:drawing>
      </w:r>
      <w:bookmarkEnd w:id="168"/>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等线 Light">
    <w:altName w:val="仿宋"/>
    <w:panose1 w:val="00000000000000000000"/>
    <w:charset w:val="86"/>
    <w:family w:val="roman"/>
    <w:pitch w:val="default"/>
    <w:sig w:usb0="00000000" w:usb1="00000000" w:usb2="00000000" w:usb3="00000000" w:csb0="00000000" w:csb1="00000000"/>
  </w:font>
  <w:font w:name="MS Mincho">
    <w:altName w:val="Droid Sans Japanese"/>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Droid Sans Japanese">
    <w:panose1 w:val="020B0502000000000001"/>
    <w:charset w:val="00"/>
    <w:family w:val="auto"/>
    <w:pitch w:val="default"/>
    <w:sig w:usb0="80000000" w:usb1="08070000" w:usb2="00000010" w:usb3="00000000" w:csb0="0000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 XX/T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70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F23"/>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A00"/>
    <w:rsid w:val="000A7311"/>
    <w:rsid w:val="000B060F"/>
    <w:rsid w:val="000B1592"/>
    <w:rsid w:val="000B1FF2"/>
    <w:rsid w:val="000B3CDA"/>
    <w:rsid w:val="000B6A0B"/>
    <w:rsid w:val="000B7F0F"/>
    <w:rsid w:val="000C0F6C"/>
    <w:rsid w:val="000C11DB"/>
    <w:rsid w:val="000C1492"/>
    <w:rsid w:val="000C2888"/>
    <w:rsid w:val="000C2FBD"/>
    <w:rsid w:val="000C3895"/>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993"/>
    <w:rsid w:val="00141114"/>
    <w:rsid w:val="00142969"/>
    <w:rsid w:val="001446C2"/>
    <w:rsid w:val="001457E7"/>
    <w:rsid w:val="00145D9D"/>
    <w:rsid w:val="00146388"/>
    <w:rsid w:val="001529E5"/>
    <w:rsid w:val="00152BEF"/>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674"/>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805"/>
    <w:rsid w:val="002040E6"/>
    <w:rsid w:val="0020527B"/>
    <w:rsid w:val="00205F2C"/>
    <w:rsid w:val="00210B15"/>
    <w:rsid w:val="002142EA"/>
    <w:rsid w:val="00220315"/>
    <w:rsid w:val="002204BB"/>
    <w:rsid w:val="00221B79"/>
    <w:rsid w:val="00221C6B"/>
    <w:rsid w:val="00224919"/>
    <w:rsid w:val="002253A1"/>
    <w:rsid w:val="00225CF8"/>
    <w:rsid w:val="0022794E"/>
    <w:rsid w:val="0023269B"/>
    <w:rsid w:val="00233D64"/>
    <w:rsid w:val="0023482A"/>
    <w:rsid w:val="002359CB"/>
    <w:rsid w:val="00243540"/>
    <w:rsid w:val="0024497B"/>
    <w:rsid w:val="0024515B"/>
    <w:rsid w:val="00246021"/>
    <w:rsid w:val="0024666E"/>
    <w:rsid w:val="00247F52"/>
    <w:rsid w:val="00250B25"/>
    <w:rsid w:val="00250BBE"/>
    <w:rsid w:val="002515C2"/>
    <w:rsid w:val="0025194F"/>
    <w:rsid w:val="00255FCC"/>
    <w:rsid w:val="0026148A"/>
    <w:rsid w:val="00262696"/>
    <w:rsid w:val="00263D25"/>
    <w:rsid w:val="002643C3"/>
    <w:rsid w:val="00264A0C"/>
    <w:rsid w:val="00266EEB"/>
    <w:rsid w:val="00267EF4"/>
    <w:rsid w:val="00270CB8"/>
    <w:rsid w:val="00272B08"/>
    <w:rsid w:val="002771AC"/>
    <w:rsid w:val="00281BB8"/>
    <w:rsid w:val="00281E9E"/>
    <w:rsid w:val="00282405"/>
    <w:rsid w:val="00284B86"/>
    <w:rsid w:val="00285170"/>
    <w:rsid w:val="00285361"/>
    <w:rsid w:val="002858F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A36"/>
    <w:rsid w:val="002C5278"/>
    <w:rsid w:val="002C7EBB"/>
    <w:rsid w:val="002D06C1"/>
    <w:rsid w:val="002D4197"/>
    <w:rsid w:val="002D42B5"/>
    <w:rsid w:val="002D4F1A"/>
    <w:rsid w:val="002D6EC6"/>
    <w:rsid w:val="002D713C"/>
    <w:rsid w:val="002D79AC"/>
    <w:rsid w:val="002E039D"/>
    <w:rsid w:val="002E4D5A"/>
    <w:rsid w:val="002E6326"/>
    <w:rsid w:val="002F30E0"/>
    <w:rsid w:val="002F35E4"/>
    <w:rsid w:val="002F3730"/>
    <w:rsid w:val="002F37E4"/>
    <w:rsid w:val="002F38E1"/>
    <w:rsid w:val="002F6435"/>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368"/>
    <w:rsid w:val="00336C64"/>
    <w:rsid w:val="00337162"/>
    <w:rsid w:val="00340F59"/>
    <w:rsid w:val="0034194F"/>
    <w:rsid w:val="00344605"/>
    <w:rsid w:val="003474AA"/>
    <w:rsid w:val="00347B88"/>
    <w:rsid w:val="00350D1D"/>
    <w:rsid w:val="00352C83"/>
    <w:rsid w:val="0035337D"/>
    <w:rsid w:val="0035466D"/>
    <w:rsid w:val="003615D2"/>
    <w:rsid w:val="003638E2"/>
    <w:rsid w:val="003639DA"/>
    <w:rsid w:val="0036429C"/>
    <w:rsid w:val="00364A53"/>
    <w:rsid w:val="003654CB"/>
    <w:rsid w:val="00365AA9"/>
    <w:rsid w:val="00365F86"/>
    <w:rsid w:val="00365F87"/>
    <w:rsid w:val="00366E89"/>
    <w:rsid w:val="00367F41"/>
    <w:rsid w:val="003705F4"/>
    <w:rsid w:val="00370D58"/>
    <w:rsid w:val="00371316"/>
    <w:rsid w:val="0037479D"/>
    <w:rsid w:val="003749C5"/>
    <w:rsid w:val="00376713"/>
    <w:rsid w:val="00381815"/>
    <w:rsid w:val="003819AF"/>
    <w:rsid w:val="003820C6"/>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689"/>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D41"/>
    <w:rsid w:val="00400E72"/>
    <w:rsid w:val="00401400"/>
    <w:rsid w:val="00404869"/>
    <w:rsid w:val="00405884"/>
    <w:rsid w:val="00407D39"/>
    <w:rsid w:val="00413131"/>
    <w:rsid w:val="0041477A"/>
    <w:rsid w:val="004167A3"/>
    <w:rsid w:val="00432DAA"/>
    <w:rsid w:val="00434305"/>
    <w:rsid w:val="00435DF7"/>
    <w:rsid w:val="004363DB"/>
    <w:rsid w:val="0044083F"/>
    <w:rsid w:val="00441AE7"/>
    <w:rsid w:val="00445574"/>
    <w:rsid w:val="004467FB"/>
    <w:rsid w:val="00452D6B"/>
    <w:rsid w:val="00454484"/>
    <w:rsid w:val="0045517B"/>
    <w:rsid w:val="00463B77"/>
    <w:rsid w:val="00463C7B"/>
    <w:rsid w:val="004644A6"/>
    <w:rsid w:val="0046598A"/>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3F7B"/>
    <w:rsid w:val="004B7FB3"/>
    <w:rsid w:val="004C1FBC"/>
    <w:rsid w:val="004C3F1D"/>
    <w:rsid w:val="004C458D"/>
    <w:rsid w:val="004C7556"/>
    <w:rsid w:val="004C7E8B"/>
    <w:rsid w:val="004C7E9D"/>
    <w:rsid w:val="004C7F67"/>
    <w:rsid w:val="004D076D"/>
    <w:rsid w:val="004D0EF1"/>
    <w:rsid w:val="004D2253"/>
    <w:rsid w:val="004D4406"/>
    <w:rsid w:val="004D59A7"/>
    <w:rsid w:val="004D7C42"/>
    <w:rsid w:val="004E0465"/>
    <w:rsid w:val="004E127B"/>
    <w:rsid w:val="004E1C0A"/>
    <w:rsid w:val="004E2B06"/>
    <w:rsid w:val="004E30C5"/>
    <w:rsid w:val="004E4AA5"/>
    <w:rsid w:val="004E4AEE"/>
    <w:rsid w:val="004E59E3"/>
    <w:rsid w:val="004E67C0"/>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833"/>
    <w:rsid w:val="00524D65"/>
    <w:rsid w:val="00525B16"/>
    <w:rsid w:val="00526A6C"/>
    <w:rsid w:val="00530D4B"/>
    <w:rsid w:val="00533D04"/>
    <w:rsid w:val="00534804"/>
    <w:rsid w:val="00534BDF"/>
    <w:rsid w:val="005354EA"/>
    <w:rsid w:val="00535786"/>
    <w:rsid w:val="0053585F"/>
    <w:rsid w:val="00535EC4"/>
    <w:rsid w:val="00535ED9"/>
    <w:rsid w:val="0053692B"/>
    <w:rsid w:val="00541535"/>
    <w:rsid w:val="00541853"/>
    <w:rsid w:val="00543BDA"/>
    <w:rsid w:val="005441CC"/>
    <w:rsid w:val="005479DA"/>
    <w:rsid w:val="00547BCC"/>
    <w:rsid w:val="0055013B"/>
    <w:rsid w:val="00551F6F"/>
    <w:rsid w:val="00555044"/>
    <w:rsid w:val="00561475"/>
    <w:rsid w:val="00562D60"/>
    <w:rsid w:val="0056487B"/>
    <w:rsid w:val="00564FB9"/>
    <w:rsid w:val="00573D9E"/>
    <w:rsid w:val="005801E3"/>
    <w:rsid w:val="00581677"/>
    <w:rsid w:val="00581802"/>
    <w:rsid w:val="005836A8"/>
    <w:rsid w:val="0058409C"/>
    <w:rsid w:val="00584262"/>
    <w:rsid w:val="00586630"/>
    <w:rsid w:val="00587ADD"/>
    <w:rsid w:val="00591E27"/>
    <w:rsid w:val="00596160"/>
    <w:rsid w:val="005966E2"/>
    <w:rsid w:val="00597007"/>
    <w:rsid w:val="005A0966"/>
    <w:rsid w:val="005A11B7"/>
    <w:rsid w:val="005A260B"/>
    <w:rsid w:val="005A4925"/>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55E"/>
    <w:rsid w:val="005D6A95"/>
    <w:rsid w:val="005D6B2C"/>
    <w:rsid w:val="005D6D9C"/>
    <w:rsid w:val="005E22C8"/>
    <w:rsid w:val="005E2335"/>
    <w:rsid w:val="005E34CA"/>
    <w:rsid w:val="005E3C18"/>
    <w:rsid w:val="005E4E17"/>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A83"/>
    <w:rsid w:val="006252D8"/>
    <w:rsid w:val="006259BC"/>
    <w:rsid w:val="0062636B"/>
    <w:rsid w:val="00627D8B"/>
    <w:rsid w:val="00632182"/>
    <w:rsid w:val="00632AE0"/>
    <w:rsid w:val="00633C17"/>
    <w:rsid w:val="00634D9E"/>
    <w:rsid w:val="00636E3E"/>
    <w:rsid w:val="006379F7"/>
    <w:rsid w:val="00637E4D"/>
    <w:rsid w:val="00640620"/>
    <w:rsid w:val="00641A1F"/>
    <w:rsid w:val="006446C3"/>
    <w:rsid w:val="00645904"/>
    <w:rsid w:val="00650AC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CF0"/>
    <w:rsid w:val="00695D22"/>
    <w:rsid w:val="006A07AA"/>
    <w:rsid w:val="006A25E5"/>
    <w:rsid w:val="006A2B46"/>
    <w:rsid w:val="006A2B8D"/>
    <w:rsid w:val="006A336D"/>
    <w:rsid w:val="006A37B9"/>
    <w:rsid w:val="006A5F8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829"/>
    <w:rsid w:val="006F03A8"/>
    <w:rsid w:val="006F185B"/>
    <w:rsid w:val="006F2ACA"/>
    <w:rsid w:val="006F2ADC"/>
    <w:rsid w:val="006F2BFE"/>
    <w:rsid w:val="006F31E9"/>
    <w:rsid w:val="006F6284"/>
    <w:rsid w:val="007002C5"/>
    <w:rsid w:val="00704387"/>
    <w:rsid w:val="00707669"/>
    <w:rsid w:val="00711CBA"/>
    <w:rsid w:val="00711FB5"/>
    <w:rsid w:val="00712A01"/>
    <w:rsid w:val="00712EC0"/>
    <w:rsid w:val="00714F58"/>
    <w:rsid w:val="0071691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7B3"/>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13A"/>
    <w:rsid w:val="007A7FFA"/>
    <w:rsid w:val="007B04EB"/>
    <w:rsid w:val="007B0D4F"/>
    <w:rsid w:val="007B5A3D"/>
    <w:rsid w:val="007B5B95"/>
    <w:rsid w:val="007B68EA"/>
    <w:rsid w:val="007B7453"/>
    <w:rsid w:val="007C1E8B"/>
    <w:rsid w:val="007C2D89"/>
    <w:rsid w:val="007C3E67"/>
    <w:rsid w:val="007C4593"/>
    <w:rsid w:val="007C5309"/>
    <w:rsid w:val="007C6069"/>
    <w:rsid w:val="007D06C4"/>
    <w:rsid w:val="007D1352"/>
    <w:rsid w:val="007D2508"/>
    <w:rsid w:val="007D346A"/>
    <w:rsid w:val="007D6518"/>
    <w:rsid w:val="007D76BD"/>
    <w:rsid w:val="007E0BF1"/>
    <w:rsid w:val="007E5623"/>
    <w:rsid w:val="007F0ED8"/>
    <w:rsid w:val="007F0F63"/>
    <w:rsid w:val="007F75CE"/>
    <w:rsid w:val="008011D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09A"/>
    <w:rsid w:val="00840617"/>
    <w:rsid w:val="00840F84"/>
    <w:rsid w:val="00842A47"/>
    <w:rsid w:val="00843C13"/>
    <w:rsid w:val="008454F8"/>
    <w:rsid w:val="00845A71"/>
    <w:rsid w:val="0085173A"/>
    <w:rsid w:val="00856316"/>
    <w:rsid w:val="008567A4"/>
    <w:rsid w:val="008603CE"/>
    <w:rsid w:val="008620FC"/>
    <w:rsid w:val="008627A5"/>
    <w:rsid w:val="00863E05"/>
    <w:rsid w:val="00865ACA"/>
    <w:rsid w:val="00865D28"/>
    <w:rsid w:val="00865F85"/>
    <w:rsid w:val="00867C10"/>
    <w:rsid w:val="00870439"/>
    <w:rsid w:val="00870DA1"/>
    <w:rsid w:val="008715C0"/>
    <w:rsid w:val="00883F93"/>
    <w:rsid w:val="00884DB3"/>
    <w:rsid w:val="00885A9D"/>
    <w:rsid w:val="008864F6"/>
    <w:rsid w:val="008868B5"/>
    <w:rsid w:val="0089049D"/>
    <w:rsid w:val="008928C9"/>
    <w:rsid w:val="008930CB"/>
    <w:rsid w:val="008938DC"/>
    <w:rsid w:val="00893FD1"/>
    <w:rsid w:val="00894836"/>
    <w:rsid w:val="00895172"/>
    <w:rsid w:val="00895680"/>
    <w:rsid w:val="00896D57"/>
    <w:rsid w:val="00896DFF"/>
    <w:rsid w:val="0089762C"/>
    <w:rsid w:val="00897EE7"/>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A11"/>
    <w:rsid w:val="008D0CE8"/>
    <w:rsid w:val="008D0D5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ADA"/>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025F"/>
    <w:rsid w:val="00953604"/>
    <w:rsid w:val="0095496B"/>
    <w:rsid w:val="009610DC"/>
    <w:rsid w:val="00961490"/>
    <w:rsid w:val="0096381A"/>
    <w:rsid w:val="00965E04"/>
    <w:rsid w:val="009674AD"/>
    <w:rsid w:val="00970CDC"/>
    <w:rsid w:val="009739FE"/>
    <w:rsid w:val="00977010"/>
    <w:rsid w:val="00977D02"/>
    <w:rsid w:val="009802F5"/>
    <w:rsid w:val="009809BB"/>
    <w:rsid w:val="0098364B"/>
    <w:rsid w:val="009911AF"/>
    <w:rsid w:val="00991875"/>
    <w:rsid w:val="00991F92"/>
    <w:rsid w:val="00992985"/>
    <w:rsid w:val="00993889"/>
    <w:rsid w:val="0099551B"/>
    <w:rsid w:val="009974CC"/>
    <w:rsid w:val="00997BF1"/>
    <w:rsid w:val="009A089C"/>
    <w:rsid w:val="009A118E"/>
    <w:rsid w:val="009A21CD"/>
    <w:rsid w:val="009A278C"/>
    <w:rsid w:val="009A2BC2"/>
    <w:rsid w:val="009A42C1"/>
    <w:rsid w:val="009A5429"/>
    <w:rsid w:val="009A72AD"/>
    <w:rsid w:val="009B09E0"/>
    <w:rsid w:val="009B0BC5"/>
    <w:rsid w:val="009B1247"/>
    <w:rsid w:val="009B2072"/>
    <w:rsid w:val="009B46F9"/>
    <w:rsid w:val="009B6029"/>
    <w:rsid w:val="009B6971"/>
    <w:rsid w:val="009C27F1"/>
    <w:rsid w:val="009C3152"/>
    <w:rsid w:val="009C4CFA"/>
    <w:rsid w:val="009C5070"/>
    <w:rsid w:val="009D1070"/>
    <w:rsid w:val="009D112C"/>
    <w:rsid w:val="009D2E72"/>
    <w:rsid w:val="009D47FA"/>
    <w:rsid w:val="009D4C5B"/>
    <w:rsid w:val="009D50D2"/>
    <w:rsid w:val="009D6BCA"/>
    <w:rsid w:val="009E0F62"/>
    <w:rsid w:val="009E1664"/>
    <w:rsid w:val="009E4A58"/>
    <w:rsid w:val="009E5A2D"/>
    <w:rsid w:val="009E5AB2"/>
    <w:rsid w:val="009E6219"/>
    <w:rsid w:val="009F03B3"/>
    <w:rsid w:val="009F45B1"/>
    <w:rsid w:val="009F7DB7"/>
    <w:rsid w:val="00A0096C"/>
    <w:rsid w:val="00A01757"/>
    <w:rsid w:val="00A028C0"/>
    <w:rsid w:val="00A02BAE"/>
    <w:rsid w:val="00A06A6B"/>
    <w:rsid w:val="00A07E47"/>
    <w:rsid w:val="00A129D0"/>
    <w:rsid w:val="00A12C33"/>
    <w:rsid w:val="00A138BA"/>
    <w:rsid w:val="00A144CE"/>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13D"/>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3A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14E"/>
    <w:rsid w:val="00B86677"/>
    <w:rsid w:val="00B87131"/>
    <w:rsid w:val="00B92A73"/>
    <w:rsid w:val="00B939B1"/>
    <w:rsid w:val="00B959B6"/>
    <w:rsid w:val="00B96D40"/>
    <w:rsid w:val="00B97386"/>
    <w:rsid w:val="00BA263B"/>
    <w:rsid w:val="00BA42B2"/>
    <w:rsid w:val="00BA58D4"/>
    <w:rsid w:val="00BA5B9E"/>
    <w:rsid w:val="00BA6E5F"/>
    <w:rsid w:val="00BA7C9A"/>
    <w:rsid w:val="00BB203B"/>
    <w:rsid w:val="00BB5F8F"/>
    <w:rsid w:val="00BB657A"/>
    <w:rsid w:val="00BC1A4E"/>
    <w:rsid w:val="00BC4790"/>
    <w:rsid w:val="00BC5DC7"/>
    <w:rsid w:val="00BC6B8B"/>
    <w:rsid w:val="00BC73D8"/>
    <w:rsid w:val="00BD52D7"/>
    <w:rsid w:val="00BD5AD2"/>
    <w:rsid w:val="00BD7202"/>
    <w:rsid w:val="00BE22F3"/>
    <w:rsid w:val="00BE231E"/>
    <w:rsid w:val="00BE5B52"/>
    <w:rsid w:val="00BE7B8D"/>
    <w:rsid w:val="00BF0993"/>
    <w:rsid w:val="00BF10A9"/>
    <w:rsid w:val="00BF1703"/>
    <w:rsid w:val="00BF231C"/>
    <w:rsid w:val="00BF51E5"/>
    <w:rsid w:val="00BF74A6"/>
    <w:rsid w:val="00C013AD"/>
    <w:rsid w:val="00C04904"/>
    <w:rsid w:val="00C056B3"/>
    <w:rsid w:val="00C100F6"/>
    <w:rsid w:val="00C103E5"/>
    <w:rsid w:val="00C13319"/>
    <w:rsid w:val="00C13EE9"/>
    <w:rsid w:val="00C21540"/>
    <w:rsid w:val="00C21906"/>
    <w:rsid w:val="00C21BFA"/>
    <w:rsid w:val="00C22148"/>
    <w:rsid w:val="00C24C8D"/>
    <w:rsid w:val="00C25FE2"/>
    <w:rsid w:val="00C26B53"/>
    <w:rsid w:val="00C279B2"/>
    <w:rsid w:val="00C338C6"/>
    <w:rsid w:val="00C33E50"/>
    <w:rsid w:val="00C34C20"/>
    <w:rsid w:val="00C35A3E"/>
    <w:rsid w:val="00C42130"/>
    <w:rsid w:val="00C423A4"/>
    <w:rsid w:val="00C44BF5"/>
    <w:rsid w:val="00C51E82"/>
    <w:rsid w:val="00C521D6"/>
    <w:rsid w:val="00C55232"/>
    <w:rsid w:val="00C553A4"/>
    <w:rsid w:val="00C55A06"/>
    <w:rsid w:val="00C55D03"/>
    <w:rsid w:val="00C56A85"/>
    <w:rsid w:val="00C601BC"/>
    <w:rsid w:val="00C61DB0"/>
    <w:rsid w:val="00C6329F"/>
    <w:rsid w:val="00C63340"/>
    <w:rsid w:val="00C643F9"/>
    <w:rsid w:val="00C64E95"/>
    <w:rsid w:val="00C67BD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0F4"/>
    <w:rsid w:val="00CD4092"/>
    <w:rsid w:val="00CD4A20"/>
    <w:rsid w:val="00CD50A1"/>
    <w:rsid w:val="00CD519E"/>
    <w:rsid w:val="00CD561D"/>
    <w:rsid w:val="00CE0C4F"/>
    <w:rsid w:val="00CE30EA"/>
    <w:rsid w:val="00CF048A"/>
    <w:rsid w:val="00CF155A"/>
    <w:rsid w:val="00CF2947"/>
    <w:rsid w:val="00CF686F"/>
    <w:rsid w:val="00CF6E60"/>
    <w:rsid w:val="00CF74F5"/>
    <w:rsid w:val="00CF7BCA"/>
    <w:rsid w:val="00D008FD"/>
    <w:rsid w:val="00D02702"/>
    <w:rsid w:val="00D0321C"/>
    <w:rsid w:val="00D035EC"/>
    <w:rsid w:val="00D06AB1"/>
    <w:rsid w:val="00D072ED"/>
    <w:rsid w:val="00D07A16"/>
    <w:rsid w:val="00D1067E"/>
    <w:rsid w:val="00D10F50"/>
    <w:rsid w:val="00D11272"/>
    <w:rsid w:val="00D126F5"/>
    <w:rsid w:val="00D135D0"/>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21D"/>
    <w:rsid w:val="00D51BF3"/>
    <w:rsid w:val="00D65901"/>
    <w:rsid w:val="00D66846"/>
    <w:rsid w:val="00D675FB"/>
    <w:rsid w:val="00D7183A"/>
    <w:rsid w:val="00D71F25"/>
    <w:rsid w:val="00D72A9C"/>
    <w:rsid w:val="00D77031"/>
    <w:rsid w:val="00D84941"/>
    <w:rsid w:val="00D84FA1"/>
    <w:rsid w:val="00D851F0"/>
    <w:rsid w:val="00D86DB7"/>
    <w:rsid w:val="00D926D0"/>
    <w:rsid w:val="00D93030"/>
    <w:rsid w:val="00D950E1"/>
    <w:rsid w:val="00D952A6"/>
    <w:rsid w:val="00D97051"/>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B60"/>
    <w:rsid w:val="00DD25C6"/>
    <w:rsid w:val="00DD4FE5"/>
    <w:rsid w:val="00DD54B0"/>
    <w:rsid w:val="00DD57EE"/>
    <w:rsid w:val="00DD6BCC"/>
    <w:rsid w:val="00DE0A4B"/>
    <w:rsid w:val="00DE2410"/>
    <w:rsid w:val="00DE2939"/>
    <w:rsid w:val="00DE541B"/>
    <w:rsid w:val="00DE6E81"/>
    <w:rsid w:val="00DE703F"/>
    <w:rsid w:val="00DE7595"/>
    <w:rsid w:val="00DF1961"/>
    <w:rsid w:val="00DF44DE"/>
    <w:rsid w:val="00DF5F11"/>
    <w:rsid w:val="00E002E5"/>
    <w:rsid w:val="00E01138"/>
    <w:rsid w:val="00E02DFB"/>
    <w:rsid w:val="00E030F9"/>
    <w:rsid w:val="00E0311A"/>
    <w:rsid w:val="00E03138"/>
    <w:rsid w:val="00E06404"/>
    <w:rsid w:val="00E065D2"/>
    <w:rsid w:val="00E11A85"/>
    <w:rsid w:val="00E12495"/>
    <w:rsid w:val="00E1368C"/>
    <w:rsid w:val="00E15CCD"/>
    <w:rsid w:val="00E202EF"/>
    <w:rsid w:val="00E210B5"/>
    <w:rsid w:val="00E23D99"/>
    <w:rsid w:val="00E2552F"/>
    <w:rsid w:val="00E3137A"/>
    <w:rsid w:val="00E32889"/>
    <w:rsid w:val="00E32CCF"/>
    <w:rsid w:val="00E34124"/>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B0F"/>
    <w:rsid w:val="00E846C8"/>
    <w:rsid w:val="00E84957"/>
    <w:rsid w:val="00E84A55"/>
    <w:rsid w:val="00E85BFF"/>
    <w:rsid w:val="00E90391"/>
    <w:rsid w:val="00E906C2"/>
    <w:rsid w:val="00E92889"/>
    <w:rsid w:val="00E9311F"/>
    <w:rsid w:val="00E934D1"/>
    <w:rsid w:val="00E94AF0"/>
    <w:rsid w:val="00E95D13"/>
    <w:rsid w:val="00E95DD3"/>
    <w:rsid w:val="00E969D5"/>
    <w:rsid w:val="00EA58D1"/>
    <w:rsid w:val="00EA61BC"/>
    <w:rsid w:val="00EA681A"/>
    <w:rsid w:val="00EA735B"/>
    <w:rsid w:val="00EB0D90"/>
    <w:rsid w:val="00EB17DE"/>
    <w:rsid w:val="00EB1E69"/>
    <w:rsid w:val="00EB2086"/>
    <w:rsid w:val="00EB54EF"/>
    <w:rsid w:val="00EB5EDF"/>
    <w:rsid w:val="00EB60FE"/>
    <w:rsid w:val="00EB74DB"/>
    <w:rsid w:val="00EC38F6"/>
    <w:rsid w:val="00EC5359"/>
    <w:rsid w:val="00EC562A"/>
    <w:rsid w:val="00ED067A"/>
    <w:rsid w:val="00ED2B50"/>
    <w:rsid w:val="00EE0350"/>
    <w:rsid w:val="00EE0719"/>
    <w:rsid w:val="00EE0E80"/>
    <w:rsid w:val="00EE54A6"/>
    <w:rsid w:val="00EE613F"/>
    <w:rsid w:val="00EE7295"/>
    <w:rsid w:val="00EE7869"/>
    <w:rsid w:val="00EF054A"/>
    <w:rsid w:val="00EF3235"/>
    <w:rsid w:val="00EF66B7"/>
    <w:rsid w:val="00EF7E72"/>
    <w:rsid w:val="00F00BCF"/>
    <w:rsid w:val="00F06D37"/>
    <w:rsid w:val="00F07B9D"/>
    <w:rsid w:val="00F11586"/>
    <w:rsid w:val="00F1183B"/>
    <w:rsid w:val="00F11C9F"/>
    <w:rsid w:val="00F12263"/>
    <w:rsid w:val="00F1409D"/>
    <w:rsid w:val="00F14214"/>
    <w:rsid w:val="00F157A9"/>
    <w:rsid w:val="00F25BB6"/>
    <w:rsid w:val="00F26B7E"/>
    <w:rsid w:val="00F27A3B"/>
    <w:rsid w:val="00F33817"/>
    <w:rsid w:val="00F36DFB"/>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47B"/>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FE7"/>
    <w:rsid w:val="00FF5B99"/>
    <w:rsid w:val="00FF6300"/>
    <w:rsid w:val="00FF730C"/>
    <w:rsid w:val="00FF73F4"/>
    <w:rsid w:val="00FF7CE4"/>
    <w:rsid w:val="00FF7E39"/>
    <w:rsid w:val="2FFF65B6"/>
    <w:rsid w:val="7FDE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locked/>
    <w:uiPriority w:val="0"/>
    <w:rPr>
      <w:rFonts w:ascii="宋体" w:hAns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2">
    <w:name w:val="列项——（一级）"/>
    <w:qFormat/>
    <w:uiPriority w:val="0"/>
    <w:pPr>
      <w:widowControl w:val="0"/>
      <w:tabs>
        <w:tab w:val="left" w:pos="36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anglinlin/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A9593AB05F49BCABE1FAD4646963BB"/>
        <w:style w:val=""/>
        <w:category>
          <w:name w:val="常规"/>
          <w:gallery w:val="placeholder"/>
        </w:category>
        <w:types>
          <w:type w:val="bbPlcHdr"/>
        </w:types>
        <w:behaviors>
          <w:behavior w:val="content"/>
        </w:behaviors>
        <w:description w:val=""/>
        <w:guid w:val="{0A5C3035-F9EB-4A88-8CE9-9843291A159D}"/>
      </w:docPartPr>
      <w:docPartBody>
        <w:p>
          <w:pPr>
            <w:pStyle w:val="5"/>
          </w:pPr>
          <w:r>
            <w:rPr>
              <w:rStyle w:val="4"/>
              <w:rFonts w:hint="eastAsia"/>
            </w:rPr>
            <w:t>单击或点击此处输入文字。</w:t>
          </w:r>
        </w:p>
      </w:docPartBody>
    </w:docPart>
    <w:docPart>
      <w:docPartPr>
        <w:name w:val="CC6C8D6563134A8B9C655C7E9687CCFF"/>
        <w:style w:val=""/>
        <w:category>
          <w:name w:val="常规"/>
          <w:gallery w:val="placeholder"/>
        </w:category>
        <w:types>
          <w:type w:val="bbPlcHdr"/>
        </w:types>
        <w:behaviors>
          <w:behavior w:val="content"/>
        </w:behaviors>
        <w:description w:val=""/>
        <w:guid w:val="{E39D4B91-1F16-4048-A100-8A18D5C89500}"/>
      </w:docPartPr>
      <w:docPartBody>
        <w:p>
          <w:pPr>
            <w:pStyle w:val="6"/>
          </w:pPr>
          <w:r>
            <w:rPr>
              <w:rStyle w:val="4"/>
              <w:rFonts w:hint="eastAsia"/>
            </w:rPr>
            <w:t>选择一项。</w:t>
          </w:r>
        </w:p>
      </w:docPartBody>
    </w:docPart>
    <w:docPart>
      <w:docPartPr>
        <w:name w:val="31DC788E395C45ECAF8A51AE1F6DA87C"/>
        <w:style w:val=""/>
        <w:category>
          <w:name w:val="常规"/>
          <w:gallery w:val="placeholder"/>
        </w:category>
        <w:types>
          <w:type w:val="bbPlcHdr"/>
        </w:types>
        <w:behaviors>
          <w:behavior w:val="content"/>
        </w:behaviors>
        <w:description w:val=""/>
        <w:guid w:val="{FF4C4344-A46C-428B-8D50-9900E24EE3F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8C3"/>
    <w:rsid w:val="0004194A"/>
    <w:rsid w:val="000550F7"/>
    <w:rsid w:val="000E2EC3"/>
    <w:rsid w:val="003017FB"/>
    <w:rsid w:val="00623667"/>
    <w:rsid w:val="0085367A"/>
    <w:rsid w:val="00A43461"/>
    <w:rsid w:val="00BE6D49"/>
    <w:rsid w:val="00CD38C3"/>
    <w:rsid w:val="00E3012C"/>
    <w:rsid w:val="00EB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EA9593AB05F49BCABE1FAD4646963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C6C8D6563134A8B9C655C7E9687CC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1DC788E395C45ECAF8A51AE1F6DA8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1167</Words>
  <Characters>6655</Characters>
  <Lines>55</Lines>
  <Paragraphs>15</Paragraphs>
  <TotalTime>2</TotalTime>
  <ScaleCrop>false</ScaleCrop>
  <LinksUpToDate>false</LinksUpToDate>
  <CharactersWithSpaces>7807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2023-02-20T21:59:00Z</dcterms:created>
  <dc:creator>Windows 用户</dc:creator>
  <dc:description>&lt;config cover="true" show_menu="true" version="1.0.0" doctype="SDKXY"&gt;_x000d_
&lt;/config&gt;</dc:description>
  <cp:lastModifiedBy>yanglinlin</cp:lastModifiedBy>
  <cp:lastPrinted>2023-03-27T15:30:37Z</cp:lastPrinted>
  <dcterms:modified xsi:type="dcterms:W3CDTF">2023-03-27T15:31:20Z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ies>
</file>